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Default Extension="jpeg" ContentType="image/jpeg"/>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E07" w:rsidRPr="002E724A" w:rsidRDefault="004A6E07" w:rsidP="002E724A">
      <w:pPr>
        <w:ind w:firstLine="0"/>
        <w:jc w:val="center"/>
        <w:rPr>
          <w:b/>
          <w:sz w:val="24"/>
          <w:lang w:val="fr-FR"/>
        </w:rPr>
      </w:pPr>
      <w:r w:rsidRPr="002E724A">
        <w:rPr>
          <w:b/>
          <w:sz w:val="24"/>
          <w:lang w:val="fr-FR"/>
        </w:rPr>
        <w:t>Les règles d’origine</w:t>
      </w:r>
    </w:p>
    <w:p w:rsidR="00D30E94" w:rsidRDefault="00D30E94" w:rsidP="002E724A">
      <w:pPr>
        <w:ind w:firstLine="0"/>
        <w:jc w:val="center"/>
        <w:rPr>
          <w:lang w:val="fr-FR"/>
        </w:rPr>
      </w:pPr>
      <w:r>
        <w:rPr>
          <w:lang w:val="fr-FR"/>
        </w:rPr>
        <w:t>Notes introductives</w:t>
      </w:r>
      <w:r w:rsidR="002E724A">
        <w:rPr>
          <w:lang w:val="fr-FR"/>
        </w:rPr>
        <w:t xml:space="preserve"> à la conférence de Mr. Joseph Ngambi</w:t>
      </w:r>
    </w:p>
    <w:p w:rsidR="00D30E94" w:rsidRDefault="00D30E94" w:rsidP="00EC1B0B">
      <w:pPr>
        <w:jc w:val="both"/>
        <w:rPr>
          <w:lang w:val="fr-FR"/>
        </w:rPr>
      </w:pPr>
    </w:p>
    <w:p w:rsidR="00D30E94" w:rsidRDefault="00E63B96" w:rsidP="00D30E94">
      <w:pPr>
        <w:jc w:val="both"/>
        <w:rPr>
          <w:lang w:val="fr-FR"/>
        </w:rPr>
      </w:pPr>
      <w:r w:rsidRPr="00E63B96">
        <w:rPr>
          <w:lang w:val="fr-FR"/>
        </w:rPr>
        <w:t xml:space="preserve">Avant de laisser </w:t>
      </w:r>
      <w:r>
        <w:rPr>
          <w:lang w:val="fr-FR"/>
        </w:rPr>
        <w:t>la parole à M. N’gambi je voudrais resituer brièvement le débat sur les règles d’origine.</w:t>
      </w:r>
      <w:r w:rsidR="00D30E94">
        <w:rPr>
          <w:lang w:val="fr-FR"/>
        </w:rPr>
        <w:t xml:space="preserve"> </w:t>
      </w:r>
      <w:r>
        <w:rPr>
          <w:lang w:val="fr-FR"/>
        </w:rPr>
        <w:t xml:space="preserve">Il faut pour cela commencer par se rappeler que l’OMC, dans le cadre de l’article XXIV, ne reconnaît que deux types d’accords : les unions douanières et les zones de libre-échange. Les unions douanières ont connu leur heure de gloire dans les années 1950 et 1960 lorsqu’il était alors question d’intégration économique, voire d’intégration politique. À l’époque avoir une politique commerciale commune était perçu comme une condition </w:t>
      </w:r>
      <w:r w:rsidRPr="00D30E94">
        <w:rPr>
          <w:i/>
          <w:lang w:val="fr-FR"/>
        </w:rPr>
        <w:t>sine qua non</w:t>
      </w:r>
      <w:r>
        <w:rPr>
          <w:lang w:val="fr-FR"/>
        </w:rPr>
        <w:t xml:space="preserve"> de toute intégration. On ne pouvait, en effet, avoir des objectifs communs, promouvoir l’intégration et prétendre parler d’une seule voix sur la scène internationale sans avoir de politique commerciale commune</w:t>
      </w:r>
      <w:r w:rsidR="006B579E">
        <w:rPr>
          <w:lang w:val="fr-FR"/>
        </w:rPr>
        <w:t xml:space="preserve">. </w:t>
      </w:r>
      <w:r w:rsidR="00D30E94">
        <w:rPr>
          <w:lang w:val="fr-FR"/>
        </w:rPr>
        <w:t xml:space="preserve">Cela allait de soi. </w:t>
      </w:r>
    </w:p>
    <w:p w:rsidR="00D814AB" w:rsidRDefault="006B579E" w:rsidP="00D814AB">
      <w:pPr>
        <w:jc w:val="both"/>
        <w:rPr>
          <w:lang w:val="fr-FR"/>
        </w:rPr>
      </w:pPr>
      <w:r>
        <w:rPr>
          <w:lang w:val="fr-FR"/>
        </w:rPr>
        <w:t>À l’époque</w:t>
      </w:r>
      <w:r w:rsidR="00D30E94">
        <w:rPr>
          <w:lang w:val="fr-FR"/>
        </w:rPr>
        <w:t xml:space="preserve"> également,</w:t>
      </w:r>
      <w:r>
        <w:rPr>
          <w:lang w:val="fr-FR"/>
        </w:rPr>
        <w:t xml:space="preserve"> les accords de libre-échange n’avaient guère la côte</w:t>
      </w:r>
      <w:r w:rsidR="005A39AC">
        <w:rPr>
          <w:lang w:val="fr-FR"/>
        </w:rPr>
        <w:t xml:space="preserve"> ni beaucoup d’adeptes, sinon ceux qui souhaitaient profiter d’un meilleur accès aux marchés sans avoir à supporter les inconvénients de l’intégration. Pensons au débat qui opposa en Europe les partisans de la CEE </w:t>
      </w:r>
      <w:r w:rsidR="00D30E94">
        <w:rPr>
          <w:lang w:val="fr-FR"/>
        </w:rPr>
        <w:t>à ceux</w:t>
      </w:r>
      <w:r w:rsidR="005A39AC">
        <w:rPr>
          <w:lang w:val="fr-FR"/>
        </w:rPr>
        <w:t xml:space="preserve"> de l’AELE, voire même à ceux d’une OCDE orientée vers l’intégration de ses membres.</w:t>
      </w:r>
      <w:r w:rsidR="00127BE1">
        <w:rPr>
          <w:lang w:val="fr-FR"/>
        </w:rPr>
        <w:t xml:space="preserve"> Quant à ceux qu’aucune de ces options ne tentait véritablement, c’était vers le multilatéralisme qu’ils se tournaient. Un multilatéralisme renforcé, amélioré ou revu et corrigé pour tenir compte des asymétries économiques, mais vers le multilatéralisme néanmoins. Pensons par exemple au Canada où, si personne ne prenait vraiment au sérieux à l’époque l’option d’un libre-échange avec les Etats-Unis, encore moins celle d’une intégration régionale, l’option multilatérale faisait l’unanimité.</w:t>
      </w:r>
      <w:r w:rsidR="00D30E94">
        <w:rPr>
          <w:lang w:val="fr-FR"/>
        </w:rPr>
        <w:t xml:space="preserve"> Le multilatéralisme, malgré les multiples critiques dont il pouvait faire l’objet, recevait toute l’attention, et si, les unions douanières – et dans une moindre mesure les accords de libre-échange – étaient acceptées, c’était </w:t>
      </w:r>
      <w:r w:rsidR="00D814AB">
        <w:rPr>
          <w:lang w:val="fr-FR"/>
        </w:rPr>
        <w:t xml:space="preserve">avant tout parce qu’elles participaient du même esprit de coopération que le multilatéralisme, et ce même si c’était à plus petite échelle. </w:t>
      </w:r>
    </w:p>
    <w:p w:rsidR="004B0DC7" w:rsidRDefault="005A39AC" w:rsidP="00D814AB">
      <w:pPr>
        <w:jc w:val="both"/>
        <w:rPr>
          <w:lang w:val="fr-FR"/>
        </w:rPr>
      </w:pPr>
      <w:r>
        <w:rPr>
          <w:lang w:val="fr-FR"/>
        </w:rPr>
        <w:t>Les temps ont beaucoup changé, et avec la libéralisation généralisée des échanges et la globalisation, ce n’est plus tant d’intégration ni d’espaces régionaux dont nous parlons aujourd’hui, que de nouvelle diplomatie commerciale et de bilatéralisme. Les unions douanières semblent offrir aujourd’hui si peu d’avantages qu’elles font presque partie du magasin d’antiquités, contrairement aux accords de libre-échange qui sont, eux</w:t>
      </w:r>
      <w:r w:rsidR="00D814AB">
        <w:rPr>
          <w:lang w:val="fr-FR"/>
        </w:rPr>
        <w:t>, entrés dans la normalité de cette</w:t>
      </w:r>
      <w:r>
        <w:rPr>
          <w:lang w:val="fr-FR"/>
        </w:rPr>
        <w:t xml:space="preserve"> nouvelle diplomatie commerciale sans que personne n’y trouve rien à y redire</w:t>
      </w:r>
      <w:r w:rsidR="00127BE1">
        <w:rPr>
          <w:lang w:val="fr-FR"/>
        </w:rPr>
        <w:t>, sauf bien entendu l’OMC qui voi</w:t>
      </w:r>
      <w:r w:rsidR="00D814AB">
        <w:rPr>
          <w:lang w:val="fr-FR"/>
        </w:rPr>
        <w:t>t ses fondements ébranlés par leur</w:t>
      </w:r>
      <w:r w:rsidR="00127BE1">
        <w:rPr>
          <w:lang w:val="fr-FR"/>
        </w:rPr>
        <w:t xml:space="preserve"> prol</w:t>
      </w:r>
      <w:r w:rsidR="00D814AB">
        <w:rPr>
          <w:lang w:val="fr-FR"/>
        </w:rPr>
        <w:t>ifération</w:t>
      </w:r>
      <w:r w:rsidR="00127BE1">
        <w:rPr>
          <w:lang w:val="fr-FR"/>
        </w:rPr>
        <w:t xml:space="preserve">. </w:t>
      </w:r>
      <w:r w:rsidR="00D814AB">
        <w:rPr>
          <w:lang w:val="fr-FR"/>
        </w:rPr>
        <w:t>À première vue on serait tenté de dire que rien n’est changé, une exception en remplaçant une autre, voire même que les choses se sont améliorées. Du moins dans la perspective où il s’agirait toujours davantage les marchés et de discipliner les pratiques publiques dans les affaires commerciales, à défaut de les sortir totalement. Or que constatons-nous ? Deux choses à mon avis.</w:t>
      </w:r>
    </w:p>
    <w:p w:rsidR="004A6E07" w:rsidRDefault="00127BE1" w:rsidP="004A6E07">
      <w:pPr>
        <w:jc w:val="both"/>
        <w:rPr>
          <w:lang w:val="fr-FR"/>
        </w:rPr>
      </w:pPr>
      <w:r>
        <w:rPr>
          <w:lang w:val="fr-FR"/>
        </w:rPr>
        <w:t>Premièrement, les ALE ne sont guère plus neutres que les unions douanières et les accords d’inté</w:t>
      </w:r>
      <w:r w:rsidR="00D814AB">
        <w:rPr>
          <w:lang w:val="fr-FR"/>
        </w:rPr>
        <w:t>gration sur lesquels ils s’appuyai</w:t>
      </w:r>
      <w:r>
        <w:rPr>
          <w:lang w:val="fr-FR"/>
        </w:rPr>
        <w:t xml:space="preserve">ent. Le discours </w:t>
      </w:r>
      <w:r w:rsidR="00D814AB">
        <w:rPr>
          <w:lang w:val="fr-FR"/>
        </w:rPr>
        <w:t xml:space="preserve">à leur propos </w:t>
      </w:r>
      <w:r>
        <w:rPr>
          <w:lang w:val="fr-FR"/>
        </w:rPr>
        <w:t xml:space="preserve">a changé. En particulier, il ne s’agit plus tant </w:t>
      </w:r>
      <w:r w:rsidR="00BB7C82">
        <w:rPr>
          <w:lang w:val="fr-FR"/>
        </w:rPr>
        <w:t xml:space="preserve">de débattre </w:t>
      </w:r>
      <w:r w:rsidR="00D814AB">
        <w:rPr>
          <w:lang w:val="fr-FR"/>
        </w:rPr>
        <w:t xml:space="preserve">de </w:t>
      </w:r>
      <w:r w:rsidR="00BB7C82">
        <w:rPr>
          <w:lang w:val="fr-FR"/>
        </w:rPr>
        <w:t xml:space="preserve">la question de savoir si oui ou non, comme c’était le cas à l’époque des unions douanières, les accords commerciaux sont une exception dérangeante </w:t>
      </w:r>
      <w:r w:rsidR="004B0DC7">
        <w:rPr>
          <w:lang w:val="fr-FR"/>
        </w:rPr>
        <w:t xml:space="preserve">à l’article I du GATT, voire </w:t>
      </w:r>
      <w:r w:rsidR="00D814AB">
        <w:rPr>
          <w:lang w:val="fr-FR"/>
        </w:rPr>
        <w:t>de se demander s’ils</w:t>
      </w:r>
      <w:r w:rsidR="004B0DC7">
        <w:rPr>
          <w:lang w:val="fr-FR"/>
        </w:rPr>
        <w:t xml:space="preserve"> ont ou non des effets discriminatoires pour les tierces parties (détournement de commerce)</w:t>
      </w:r>
      <w:r w:rsidR="00D814AB">
        <w:rPr>
          <w:lang w:val="fr-FR"/>
        </w:rPr>
        <w:t>,</w:t>
      </w:r>
      <w:r w:rsidR="004B0DC7">
        <w:rPr>
          <w:lang w:val="fr-FR"/>
        </w:rPr>
        <w:t xml:space="preserve"> que de se demander comment ces accords </w:t>
      </w:r>
      <w:r w:rsidR="00D814AB">
        <w:rPr>
          <w:lang w:val="fr-FR"/>
        </w:rPr>
        <w:t>peuvent contribuer</w:t>
      </w:r>
      <w:r w:rsidR="004B0DC7">
        <w:rPr>
          <w:lang w:val="fr-FR"/>
        </w:rPr>
        <w:t xml:space="preserve"> au développement des échanges internationaux, voire comment ils peuvent faire avancer les disciplines commerciales internationales</w:t>
      </w:r>
      <w:r w:rsidR="004A6E07">
        <w:rPr>
          <w:lang w:val="fr-FR"/>
        </w:rPr>
        <w:t>, et ce tout en répondant aux intérêts de ceux qui les signent</w:t>
      </w:r>
      <w:r w:rsidR="004B0DC7">
        <w:rPr>
          <w:lang w:val="fr-FR"/>
        </w:rPr>
        <w:t>. Le discours à leur endroit est devenu plus positif</w:t>
      </w:r>
      <w:r w:rsidR="004A6E07">
        <w:rPr>
          <w:lang w:val="fr-FR"/>
        </w:rPr>
        <w:t xml:space="preserve"> et plutôt que d’y voir une exception tout à fait justifiée comme autrefois</w:t>
      </w:r>
      <w:r w:rsidR="004B0DC7">
        <w:rPr>
          <w:lang w:val="fr-FR"/>
        </w:rPr>
        <w:t xml:space="preserve">, </w:t>
      </w:r>
      <w:r w:rsidR="004A6E07">
        <w:rPr>
          <w:lang w:val="fr-FR"/>
        </w:rPr>
        <w:t xml:space="preserve">il est devenu commun de les juger à l’aulne de leur contribution à l’avènement d’un monde ouvert et intégré et par la même occasion de souligner la complémentarité presque naturelle entre le régionalisme et le multilatéralisme. Il s’agit là d’un grave malentendu à mon avis. </w:t>
      </w:r>
    </w:p>
    <w:p w:rsidR="001430E2" w:rsidRDefault="004A6E07" w:rsidP="004A6E07">
      <w:pPr>
        <w:jc w:val="both"/>
        <w:rPr>
          <w:lang w:val="fr-FR"/>
        </w:rPr>
      </w:pPr>
      <w:r>
        <w:rPr>
          <w:lang w:val="fr-FR"/>
        </w:rPr>
        <w:t xml:space="preserve">Le problème des nouveaux accords commerciaux ne vient pas du fait qu’ils soient moins politiques et plus orientés vers la libéralisation des échanges que les unions douanières et les accords qui les ont précédés ; il vient du fait que les États ont instrumentalisé le bilatéralisme et fait des accords commerciaux un instrument commercial comme un autre. La </w:t>
      </w:r>
      <w:r w:rsidR="004B0DC7">
        <w:rPr>
          <w:lang w:val="fr-FR"/>
        </w:rPr>
        <w:t xml:space="preserve">variable politique est </w:t>
      </w:r>
      <w:r>
        <w:rPr>
          <w:lang w:val="fr-FR"/>
        </w:rPr>
        <w:t xml:space="preserve">donc toujours aussi déterminante ; elle </w:t>
      </w:r>
      <w:r w:rsidR="004B0DC7">
        <w:rPr>
          <w:lang w:val="fr-FR"/>
        </w:rPr>
        <w:t>est devenue beaucoup plus perverse dans la mesure où</w:t>
      </w:r>
      <w:r w:rsidR="001430E2">
        <w:rPr>
          <w:lang w:val="fr-FR"/>
        </w:rPr>
        <w:t>,</w:t>
      </w:r>
      <w:r w:rsidR="004B0DC7">
        <w:rPr>
          <w:lang w:val="fr-FR"/>
        </w:rPr>
        <w:t xml:space="preserve"> </w:t>
      </w:r>
      <w:r w:rsidR="001430E2">
        <w:rPr>
          <w:lang w:val="fr-FR"/>
        </w:rPr>
        <w:t xml:space="preserve">pour donner raison à John Stopford et à Susan Strange, les mots </w:t>
      </w:r>
      <w:r>
        <w:rPr>
          <w:lang w:val="fr-FR"/>
        </w:rPr>
        <w:t xml:space="preserve">d’ouverture commerciale, </w:t>
      </w:r>
      <w:r w:rsidR="001430E2">
        <w:rPr>
          <w:lang w:val="fr-FR"/>
        </w:rPr>
        <w:t xml:space="preserve">de coopération et d’intégration servent de paravent à une diplomatie commerciale agressive dont l’objet </w:t>
      </w:r>
      <w:r>
        <w:rPr>
          <w:lang w:val="fr-FR"/>
        </w:rPr>
        <w:t xml:space="preserve">n’est pas de renforcer les solidarités collectives mais </w:t>
      </w:r>
      <w:r w:rsidR="001430E2">
        <w:rPr>
          <w:lang w:val="fr-FR"/>
        </w:rPr>
        <w:t>de gagner sur les autres</w:t>
      </w:r>
      <w:r>
        <w:rPr>
          <w:lang w:val="fr-FR"/>
        </w:rPr>
        <w:t>, de se doter d’</w:t>
      </w:r>
      <w:r w:rsidR="001430E2">
        <w:rPr>
          <w:lang w:val="fr-FR"/>
        </w:rPr>
        <w:t xml:space="preserve">un avantage concurrentiel </w:t>
      </w:r>
      <w:r>
        <w:rPr>
          <w:lang w:val="fr-FR"/>
        </w:rPr>
        <w:t xml:space="preserve">que les autres n’auront pas, voire, </w:t>
      </w:r>
      <w:r w:rsidR="001430E2">
        <w:rPr>
          <w:lang w:val="fr-FR"/>
        </w:rPr>
        <w:t>si possible</w:t>
      </w:r>
      <w:r>
        <w:rPr>
          <w:lang w:val="fr-FR"/>
        </w:rPr>
        <w:t>,</w:t>
      </w:r>
      <w:r w:rsidR="001430E2">
        <w:rPr>
          <w:lang w:val="fr-FR"/>
        </w:rPr>
        <w:t xml:space="preserve"> de tourner la globalisation à son avantage.</w:t>
      </w:r>
    </w:p>
    <w:p w:rsidR="002E724A" w:rsidRDefault="001430E2" w:rsidP="002E724A">
      <w:pPr>
        <w:jc w:val="both"/>
        <w:rPr>
          <w:lang w:val="fr-FR"/>
        </w:rPr>
      </w:pPr>
      <w:r>
        <w:rPr>
          <w:lang w:val="fr-FR"/>
        </w:rPr>
        <w:t>Deuxièmement, les unions douanières ont</w:t>
      </w:r>
      <w:r w:rsidR="004A6E07">
        <w:rPr>
          <w:lang w:val="fr-FR"/>
        </w:rPr>
        <w:t xml:space="preserve"> toujours</w:t>
      </w:r>
      <w:r w:rsidR="002E724A">
        <w:rPr>
          <w:lang w:val="fr-FR"/>
        </w:rPr>
        <w:t xml:space="preserve"> eu</w:t>
      </w:r>
      <w:r>
        <w:rPr>
          <w:lang w:val="fr-FR"/>
        </w:rPr>
        <w:t xml:space="preserve"> ceci de dérangeant que non seulement elles limitent la marge de manœuvre et le pouvoir d</w:t>
      </w:r>
      <w:r w:rsidR="00165C81">
        <w:rPr>
          <w:lang w:val="fr-FR"/>
        </w:rPr>
        <w:t xml:space="preserve">e négociation des États qui en font partie, mais aussi </w:t>
      </w:r>
      <w:r w:rsidR="002E724A">
        <w:rPr>
          <w:lang w:val="fr-FR"/>
        </w:rPr>
        <w:t xml:space="preserve">qu’elles </w:t>
      </w:r>
      <w:r w:rsidR="00165C81">
        <w:rPr>
          <w:lang w:val="fr-FR"/>
        </w:rPr>
        <w:t>établissent un tarif extérieur commun qui vient en quelque sorte protéger un marché préférentiel pour le seul bénéfice de ses membres. C’est un problème que l’on ne rencontre pas avec les accords de libre-échange</w:t>
      </w:r>
      <w:r w:rsidR="00922202">
        <w:rPr>
          <w:lang w:val="fr-FR"/>
        </w:rPr>
        <w:t xml:space="preserve"> puisque dans leur cas, il n’y a pas de tarif extérieur commun. Certes, certes, mais je reviens à ce que je viens de dire à propos de la nouvelle diplomatie commerciale : si l’objectif de ces accords est de procurer un avantage concurren</w:t>
      </w:r>
      <w:r w:rsidR="002E724A">
        <w:rPr>
          <w:lang w:val="fr-FR"/>
        </w:rPr>
        <w:t>tiel à ceux qui les signent, on</w:t>
      </w:r>
      <w:r w:rsidR="00922202">
        <w:rPr>
          <w:lang w:val="fr-FR"/>
        </w:rPr>
        <w:t xml:space="preserve"> comprend fort bien que ceux-ci ne soient guère intéressés à partager cet avantage avec d’autres, encore moins à donner à d’autres la possibilité de prendre pied sur </w:t>
      </w:r>
      <w:r w:rsidR="002E724A">
        <w:rPr>
          <w:lang w:val="fr-FR"/>
        </w:rPr>
        <w:t>leurs</w:t>
      </w:r>
      <w:r w:rsidR="00922202">
        <w:rPr>
          <w:lang w:val="fr-FR"/>
        </w:rPr>
        <w:t xml:space="preserve"> marchés en profitant du système préférentiel </w:t>
      </w:r>
      <w:r w:rsidR="002E724A">
        <w:rPr>
          <w:lang w:val="fr-FR"/>
        </w:rPr>
        <w:t>ainsi</w:t>
      </w:r>
      <w:r w:rsidR="00922202">
        <w:rPr>
          <w:lang w:val="fr-FR"/>
        </w:rPr>
        <w:t xml:space="preserve"> mis en place. On peut aisément comprendre que ni les Etats-Unis ni le Canada ne sont intéressés à donner la possibilité à une entreprise d’un tiers pays de profiter de l’ALENA </w:t>
      </w:r>
      <w:r w:rsidR="002E724A">
        <w:rPr>
          <w:lang w:val="fr-FR"/>
        </w:rPr>
        <w:t>pour venir</w:t>
      </w:r>
      <w:r w:rsidR="00922202">
        <w:rPr>
          <w:lang w:val="fr-FR"/>
        </w:rPr>
        <w:t xml:space="preserve"> s’installer au </w:t>
      </w:r>
      <w:r w:rsidR="002E724A">
        <w:rPr>
          <w:lang w:val="fr-FR"/>
        </w:rPr>
        <w:t>Mexique et se servir de ce pays comme tremplin pour accéder aux deux autres marchés</w:t>
      </w:r>
      <w:r w:rsidR="00922202">
        <w:rPr>
          <w:lang w:val="fr-FR"/>
        </w:rPr>
        <w:t xml:space="preserve">. De la même façon, </w:t>
      </w:r>
      <w:r w:rsidR="00EB3CBA">
        <w:rPr>
          <w:lang w:val="fr-FR"/>
        </w:rPr>
        <w:t>on peut également aisément comprendre que le Mexique ne soit guère intéressé à vo</w:t>
      </w:r>
      <w:r w:rsidR="002E724A">
        <w:rPr>
          <w:lang w:val="fr-FR"/>
        </w:rPr>
        <w:t>ir un autre pays, le Costa Rica</w:t>
      </w:r>
      <w:r w:rsidR="00EB3CBA">
        <w:rPr>
          <w:lang w:val="fr-FR"/>
        </w:rPr>
        <w:t xml:space="preserve"> par exemple</w:t>
      </w:r>
      <w:r w:rsidR="002E724A">
        <w:rPr>
          <w:lang w:val="fr-FR"/>
        </w:rPr>
        <w:t>,</w:t>
      </w:r>
      <w:r w:rsidR="00EB3CBA">
        <w:rPr>
          <w:lang w:val="fr-FR"/>
        </w:rPr>
        <w:t xml:space="preserve"> profiter de l’ALENA</w:t>
      </w:r>
      <w:r w:rsidR="002E724A">
        <w:rPr>
          <w:lang w:val="fr-FR"/>
        </w:rPr>
        <w:t xml:space="preserve"> et des mêmes avantages qu’il a obtenus de ses deux partenaires</w:t>
      </w:r>
      <w:r w:rsidR="00EB3CBA">
        <w:rPr>
          <w:lang w:val="fr-FR"/>
        </w:rPr>
        <w:t xml:space="preserve"> du seul fait </w:t>
      </w:r>
      <w:r w:rsidR="002E724A">
        <w:rPr>
          <w:lang w:val="fr-FR"/>
        </w:rPr>
        <w:t xml:space="preserve">que le Costa Rica aurait signé </w:t>
      </w:r>
      <w:r w:rsidR="00EB3CBA">
        <w:rPr>
          <w:lang w:val="fr-FR"/>
        </w:rPr>
        <w:t>un accord de libre-échange avec les Etats-Un</w:t>
      </w:r>
      <w:r w:rsidR="002E724A">
        <w:rPr>
          <w:lang w:val="fr-FR"/>
        </w:rPr>
        <w:t>is. De là les règles d’origine : elles sont là non pas pour protéger le marché, mais pour servir de police d’assurance et garantir que les avantages obtenus ne soient pas détournés pas des tiers mal intentionnés ou par des comportements de passager clandestin de la part de concurrents. Les règles d’origine</w:t>
      </w:r>
      <w:r w:rsidR="00EB3CBA">
        <w:rPr>
          <w:lang w:val="fr-FR"/>
        </w:rPr>
        <w:t xml:space="preserve"> peuvent être plus ou moins précises, plus ou moins contraignantes, mais </w:t>
      </w:r>
      <w:r w:rsidR="00EB3CBA" w:rsidRPr="00EB3CBA">
        <w:rPr>
          <w:i/>
          <w:lang w:val="fr-FR"/>
        </w:rPr>
        <w:t>in fine</w:t>
      </w:r>
      <w:r w:rsidR="002E724A">
        <w:rPr>
          <w:lang w:val="fr-FR"/>
        </w:rPr>
        <w:t xml:space="preserve"> on en revient toujours à cela.</w:t>
      </w:r>
    </w:p>
    <w:p w:rsidR="002E724A" w:rsidRDefault="00EB3CBA" w:rsidP="002E724A">
      <w:pPr>
        <w:jc w:val="both"/>
        <w:rPr>
          <w:lang w:val="fr-FR"/>
        </w:rPr>
      </w:pPr>
      <w:r>
        <w:rPr>
          <w:lang w:val="fr-FR"/>
        </w:rPr>
        <w:t xml:space="preserve">Très vite, on a pu voir le problème </w:t>
      </w:r>
      <w:r w:rsidR="002E724A">
        <w:rPr>
          <w:lang w:val="fr-FR"/>
        </w:rPr>
        <w:t>qui ne</w:t>
      </w:r>
      <w:r>
        <w:rPr>
          <w:lang w:val="fr-FR"/>
        </w:rPr>
        <w:t xml:space="preserve"> pouvait que</w:t>
      </w:r>
      <w:r w:rsidR="002E724A">
        <w:rPr>
          <w:lang w:val="fr-FR"/>
        </w:rPr>
        <w:t xml:space="preserve"> se</w:t>
      </w:r>
      <w:r>
        <w:rPr>
          <w:lang w:val="fr-FR"/>
        </w:rPr>
        <w:t xml:space="preserve"> poser : avec la prolifération des accords, on ne pouvait qu’assister à la prolifération des règles d’origine. La situation est devenue extrêmement complexe, ne serait-ce que d’un point de vue administratif, mais, surtout, elle a fini par engendrer des coûts de transaction tels que les entreprises ont du mal bien souvent à s’y retrouver.</w:t>
      </w:r>
      <w:r w:rsidR="002E724A">
        <w:rPr>
          <w:lang w:val="fr-FR"/>
        </w:rPr>
        <w:t xml:space="preserve"> Le problème, en soi, n’est pas très complexe à résoudre, du moins s’il s’agit de produits bien établis ; il le devient par contre très vite lorsqu’il s’agit d’intrants et de produits entrant dans les chaînes de valeur. On l’a vu très clairement dans l’ALENA à propos des vêtements : la norme nord-américaine ne devait pas seulement s’appliquer à la confection des vêtements, mais également au fil entrant dans la confection des vêtements. Là encore il s’agit d’un exemple simple. Que dire par contre de ces chaînes de valeur qui traversent les pays avant d’arriver d</w:t>
      </w:r>
      <w:r w:rsidR="00014417">
        <w:rPr>
          <w:lang w:val="fr-FR"/>
        </w:rPr>
        <w:t xml:space="preserve">ans les réseaux de distribution. Avec la division très poussée du travail, le problème n’a fait que s’amplifier au fur et à mesure que les accords de libre-échange sont devenus la norme et l’instrument privilégié des États pour ouvrir les marchés. Ne soyons donc pas surpris de voir que c’est en Asie que le problème se pose aujourd’hui avec le plus d’acuité, </w:t>
      </w:r>
      <w:r w:rsidR="00B7730F">
        <w:rPr>
          <w:lang w:val="fr-FR"/>
        </w:rPr>
        <w:t>c’est-à-dire là où les chaînes de valeur sont les plus long</w:t>
      </w:r>
      <w:r w:rsidR="00262052">
        <w:rPr>
          <w:lang w:val="fr-FR"/>
        </w:rPr>
        <w:t>ues et transnationalisées. L</w:t>
      </w:r>
      <w:r w:rsidR="00B7730F">
        <w:rPr>
          <w:lang w:val="fr-FR"/>
        </w:rPr>
        <w:t>à aussi où le bilatéralisme et le régionalisme connaissent un véritable engouement.</w:t>
      </w:r>
    </w:p>
    <w:p w:rsidR="00E228C8" w:rsidRDefault="00EB3CBA" w:rsidP="00E228C8">
      <w:pPr>
        <w:jc w:val="both"/>
        <w:rPr>
          <w:lang w:val="fr-FR"/>
        </w:rPr>
      </w:pPr>
      <w:r>
        <w:rPr>
          <w:lang w:val="fr-FR"/>
        </w:rPr>
        <w:t xml:space="preserve"> </w:t>
      </w:r>
      <w:r w:rsidR="00B7730F">
        <w:rPr>
          <w:lang w:val="fr-FR"/>
        </w:rPr>
        <w:t>Avant de</w:t>
      </w:r>
      <w:r>
        <w:rPr>
          <w:lang w:val="fr-FR"/>
        </w:rPr>
        <w:t xml:space="preserve"> laisser la parole à notre conférencier, </w:t>
      </w:r>
      <w:r w:rsidR="00B7730F">
        <w:rPr>
          <w:lang w:val="fr-FR"/>
        </w:rPr>
        <w:t>j’aimerais faire une dernière remarque. A</w:t>
      </w:r>
      <w:r>
        <w:rPr>
          <w:lang w:val="fr-FR"/>
        </w:rPr>
        <w:t>lors que les économistes libéraux ont tendance à vo</w:t>
      </w:r>
      <w:r w:rsidR="00B7730F">
        <w:rPr>
          <w:lang w:val="fr-FR"/>
        </w:rPr>
        <w:t>ir dans le</w:t>
      </w:r>
      <w:r w:rsidR="00CE0225">
        <w:rPr>
          <w:lang w:val="fr-FR"/>
        </w:rPr>
        <w:t xml:space="preserve">s règles d’origine une forme de protectionnisme qui n’ose pas afficher son nom, je préfère voir </w:t>
      </w:r>
      <w:r w:rsidR="00B7730F">
        <w:rPr>
          <w:lang w:val="fr-FR"/>
        </w:rPr>
        <w:t>en elles</w:t>
      </w:r>
      <w:r w:rsidR="00CE0225">
        <w:rPr>
          <w:lang w:val="fr-FR"/>
        </w:rPr>
        <w:t xml:space="preserve"> la conséquence </w:t>
      </w:r>
      <w:r w:rsidR="00B7730F">
        <w:rPr>
          <w:lang w:val="fr-FR"/>
        </w:rPr>
        <w:t xml:space="preserve">indirecte </w:t>
      </w:r>
      <w:r w:rsidR="00CE0225">
        <w:rPr>
          <w:lang w:val="fr-FR"/>
        </w:rPr>
        <w:t>des dérives d’une diplomatie commerciale qui, plutôt q</w:t>
      </w:r>
      <w:r w:rsidR="00B7730F">
        <w:rPr>
          <w:lang w:val="fr-FR"/>
        </w:rPr>
        <w:t xml:space="preserve">ue de rechercher la coopération multilatérale, </w:t>
      </w:r>
      <w:r w:rsidR="00CE0225">
        <w:rPr>
          <w:lang w:val="fr-FR"/>
        </w:rPr>
        <w:t>a fait de la concurrence sa ligne de conduite. Je ne dis pas que les règles d’origi</w:t>
      </w:r>
      <w:r w:rsidR="00B7730F">
        <w:rPr>
          <w:lang w:val="fr-FR"/>
        </w:rPr>
        <w:t xml:space="preserve">ne ne sont pas un problème ; elles sont un problème. Tout comme les accords de libre-échange sont également un réel problème. Ce </w:t>
      </w:r>
      <w:r w:rsidR="00CE0225">
        <w:rPr>
          <w:lang w:val="fr-FR"/>
        </w:rPr>
        <w:t xml:space="preserve">que je veux </w:t>
      </w:r>
      <w:r w:rsidR="00B7730F">
        <w:rPr>
          <w:lang w:val="fr-FR"/>
        </w:rPr>
        <w:t xml:space="preserve">simplement </w:t>
      </w:r>
      <w:r w:rsidR="00CE0225">
        <w:rPr>
          <w:lang w:val="fr-FR"/>
        </w:rPr>
        <w:t xml:space="preserve">dire par là, c’est que ne sont </w:t>
      </w:r>
      <w:r w:rsidR="00B7730F">
        <w:rPr>
          <w:lang w:val="fr-FR"/>
        </w:rPr>
        <w:t>ni</w:t>
      </w:r>
      <w:r w:rsidR="00CE0225">
        <w:rPr>
          <w:lang w:val="fr-FR"/>
        </w:rPr>
        <w:t xml:space="preserve"> les accords de libre-échange </w:t>
      </w:r>
      <w:r w:rsidR="00B7730F">
        <w:rPr>
          <w:lang w:val="fr-FR"/>
        </w:rPr>
        <w:t>ni</w:t>
      </w:r>
      <w:r w:rsidR="00CE0225">
        <w:rPr>
          <w:lang w:val="fr-FR"/>
        </w:rPr>
        <w:t xml:space="preserve"> les règles d’origine qui </w:t>
      </w:r>
      <w:r w:rsidR="00B7730F">
        <w:rPr>
          <w:lang w:val="fr-FR"/>
        </w:rPr>
        <w:t>sont en train de miner</w:t>
      </w:r>
      <w:r w:rsidR="00CE0225">
        <w:rPr>
          <w:lang w:val="fr-FR"/>
        </w:rPr>
        <w:t xml:space="preserve"> le </w:t>
      </w:r>
      <w:r w:rsidR="00B7730F">
        <w:rPr>
          <w:lang w:val="fr-FR"/>
        </w:rPr>
        <w:t>système commercial multilatéral</w:t>
      </w:r>
      <w:r w:rsidR="00CE0225">
        <w:rPr>
          <w:lang w:val="fr-FR"/>
        </w:rPr>
        <w:t xml:space="preserve"> </w:t>
      </w:r>
      <w:r w:rsidR="00B7730F">
        <w:rPr>
          <w:lang w:val="fr-FR"/>
        </w:rPr>
        <w:t>– ce ne sont après tout que des instruments –, mais cette nouvelle diplomatie commerciale dans laquelle se sont engouffré</w:t>
      </w:r>
      <w:r w:rsidR="00E228C8">
        <w:rPr>
          <w:lang w:val="fr-FR"/>
        </w:rPr>
        <w:t xml:space="preserve">s les États, avec le résultat que </w:t>
      </w:r>
      <w:r w:rsidR="00CE0225">
        <w:rPr>
          <w:lang w:val="fr-FR"/>
        </w:rPr>
        <w:t xml:space="preserve">la concurrence a pris le dessus sur la coopération et la recherche d’avantages compétitifs sur l’idée aujourd’hui bien démodée d’intégration. </w:t>
      </w:r>
      <w:r w:rsidR="00E228C8">
        <w:rPr>
          <w:lang w:val="fr-FR"/>
        </w:rPr>
        <w:t>Ouvrir le débat sur les règles d’origine, ce n’est donc pas simplement ouvrir un débat technique sur les lourdeurs administratives, les obstacles réglementaires et les coûts de transaction ; c’est aussi ouvrir le débat sur les accords de commerce et la nouvelle diplomatie commerciale, et ce débat est avant tout politique.</w:t>
      </w:r>
    </w:p>
    <w:p w:rsidR="00E228C8" w:rsidRDefault="00E228C8" w:rsidP="00E228C8">
      <w:pPr>
        <w:jc w:val="both"/>
        <w:rPr>
          <w:lang w:val="fr-FR"/>
        </w:rPr>
      </w:pPr>
    </w:p>
    <w:p w:rsidR="00E228C8" w:rsidRDefault="00E228C8" w:rsidP="00E228C8">
      <w:pPr>
        <w:jc w:val="right"/>
        <w:rPr>
          <w:i/>
          <w:lang w:val="fr-FR"/>
        </w:rPr>
      </w:pPr>
      <w:r w:rsidRPr="00E228C8">
        <w:rPr>
          <w:i/>
          <w:lang w:val="fr-FR"/>
        </w:rPr>
        <w:t>Christian Deblock</w:t>
      </w:r>
    </w:p>
    <w:p w:rsidR="001430E2" w:rsidRPr="00E228C8" w:rsidRDefault="00E228C8" w:rsidP="00E228C8">
      <w:pPr>
        <w:jc w:val="right"/>
        <w:rPr>
          <w:lang w:val="fr-FR"/>
        </w:rPr>
      </w:pPr>
      <w:r>
        <w:rPr>
          <w:lang w:val="fr-FR"/>
        </w:rPr>
        <w:t>11 novembre 2011</w:t>
      </w:r>
    </w:p>
    <w:p w:rsidR="001430E2" w:rsidRDefault="001430E2" w:rsidP="00EC1B0B">
      <w:pPr>
        <w:jc w:val="both"/>
        <w:rPr>
          <w:lang w:val="fr-FR"/>
        </w:rPr>
      </w:pPr>
    </w:p>
    <w:p w:rsidR="006B579E" w:rsidRPr="00E63B96" w:rsidRDefault="006B579E" w:rsidP="00EC1B0B">
      <w:pPr>
        <w:jc w:val="both"/>
        <w:rPr>
          <w:lang w:val="fr-FR"/>
        </w:rPr>
      </w:pPr>
    </w:p>
    <w:sectPr w:rsidR="006B579E" w:rsidRPr="00E63B96" w:rsidSect="006B579E">
      <w:pgSz w:w="12240" w:h="15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entury">
    <w:panose1 w:val="020406040505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0443D1"/>
    <w:multiLevelType w:val="hybridMultilevel"/>
    <w:tmpl w:val="A75AAF52"/>
    <w:lvl w:ilvl="0" w:tplc="607615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8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E63B96"/>
    <w:rsid w:val="00014417"/>
    <w:rsid w:val="00127BE1"/>
    <w:rsid w:val="001430E2"/>
    <w:rsid w:val="00165C81"/>
    <w:rsid w:val="00262052"/>
    <w:rsid w:val="002E724A"/>
    <w:rsid w:val="004A6E07"/>
    <w:rsid w:val="004B0DC7"/>
    <w:rsid w:val="005A39AC"/>
    <w:rsid w:val="006B579E"/>
    <w:rsid w:val="00922202"/>
    <w:rsid w:val="00B7730F"/>
    <w:rsid w:val="00BB7C82"/>
    <w:rsid w:val="00CC69A9"/>
    <w:rsid w:val="00CE0225"/>
    <w:rsid w:val="00D30E94"/>
    <w:rsid w:val="00D814AB"/>
    <w:rsid w:val="00E228C8"/>
    <w:rsid w:val="00E63B96"/>
    <w:rsid w:val="00EB3CBA"/>
    <w:rsid w:val="00EC1B0B"/>
  </w:rsids>
  <m:mathPr>
    <m:mathFont m:val="Arial Black"/>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mbria" w:hAnsiTheme="minorHAnsi" w:cstheme="minorBidi"/>
        <w:sz w:val="24"/>
        <w:szCs w:val="24"/>
        <w:lang w:val="fr-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9DB"/>
    <w:pPr>
      <w:spacing w:before="100"/>
      <w:ind w:firstLine="284"/>
    </w:pPr>
    <w:rPr>
      <w:rFonts w:ascii="Century" w:hAnsi="Century" w:cs="Times New Roman"/>
      <w:sz w:val="22"/>
    </w:rPr>
  </w:style>
  <w:style w:type="paragraph" w:styleId="Heading1">
    <w:name w:val="heading 1"/>
    <w:basedOn w:val="Normal"/>
    <w:next w:val="Normal"/>
    <w:link w:val="Heading1Char"/>
    <w:autoRedefine/>
    <w:qFormat/>
    <w:rsid w:val="006D7C78"/>
    <w:pPr>
      <w:keepNext/>
      <w:spacing w:before="240" w:after="60"/>
      <w:ind w:left="1701" w:firstLine="0"/>
      <w:jc w:val="center"/>
      <w:outlineLvl w:val="0"/>
    </w:pPr>
    <w:rPr>
      <w:rFonts w:eastAsia="Times New Roman" w:cstheme="minorBidi"/>
      <w:bCs/>
      <w:caps/>
      <w:color w:val="984806"/>
      <w:kern w:val="32"/>
      <w:sz w:val="26"/>
      <w:szCs w:val="32"/>
      <w:lang w:eastAsia="fr-FR"/>
    </w:rPr>
  </w:style>
  <w:style w:type="paragraph" w:styleId="Heading2">
    <w:name w:val="heading 2"/>
    <w:basedOn w:val="Normal"/>
    <w:next w:val="Normal"/>
    <w:link w:val="Heading2Char"/>
    <w:autoRedefine/>
    <w:uiPriority w:val="9"/>
    <w:unhideWhenUsed/>
    <w:qFormat/>
    <w:rsid w:val="00C17C36"/>
    <w:pPr>
      <w:keepNext/>
      <w:keepLines/>
      <w:spacing w:before="200"/>
      <w:ind w:firstLine="0"/>
      <w:outlineLvl w:val="1"/>
    </w:pPr>
    <w:rPr>
      <w:rFonts w:eastAsia="Times New Roman" w:cstheme="minorBidi"/>
      <w:b/>
      <w:bCs/>
      <w:color w:val="984806"/>
      <w:sz w:val="26"/>
      <w:szCs w:val="26"/>
      <w:lang w:eastAsia="fr-FR"/>
    </w:rPr>
  </w:style>
  <w:style w:type="paragraph" w:styleId="Heading3">
    <w:name w:val="heading 3"/>
    <w:basedOn w:val="Normal"/>
    <w:next w:val="Normal"/>
    <w:link w:val="Heading3Char"/>
    <w:autoRedefine/>
    <w:qFormat/>
    <w:rsid w:val="00795FF9"/>
    <w:pPr>
      <w:spacing w:before="0"/>
      <w:ind w:firstLine="0"/>
      <w:outlineLvl w:val="2"/>
    </w:pPr>
    <w:rPr>
      <w:rFonts w:eastAsia="Times New Roman" w:cs="Arial"/>
      <w:b/>
      <w:bCs/>
      <w:color w:val="984806"/>
      <w:sz w:val="24"/>
      <w:szCs w:val="26"/>
      <w:lang w:eastAsia="fr-FR"/>
    </w:rPr>
  </w:style>
  <w:style w:type="paragraph" w:styleId="Heading4">
    <w:name w:val="heading 4"/>
    <w:basedOn w:val="Normal"/>
    <w:link w:val="Heading4Char"/>
    <w:autoRedefine/>
    <w:qFormat/>
    <w:rsid w:val="00795FF9"/>
    <w:pPr>
      <w:spacing w:beforeAutospacing="1" w:after="100" w:afterAutospacing="1" w:line="276" w:lineRule="auto"/>
      <w:ind w:firstLine="0"/>
      <w:outlineLvl w:val="3"/>
    </w:pPr>
    <w:rPr>
      <w:rFonts w:eastAsia="Times New Roman" w:cstheme="minorBidi"/>
      <w:bCs/>
      <w:i/>
      <w:color w:val="984806"/>
      <w:lang w:val="fr-FR" w:eastAsia="fr-FR"/>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Style2">
    <w:name w:val="Style2"/>
    <w:basedOn w:val="Heading1"/>
    <w:qFormat/>
    <w:rsid w:val="00C87A80"/>
    <w:rPr>
      <w:color w:val="984806" w:themeColor="accent6" w:themeShade="80"/>
    </w:rPr>
  </w:style>
  <w:style w:type="character" w:customStyle="1" w:styleId="Heading1Char">
    <w:name w:val="Heading 1 Char"/>
    <w:basedOn w:val="DefaultParagraphFont"/>
    <w:link w:val="Heading1"/>
    <w:rsid w:val="006D7C78"/>
    <w:rPr>
      <w:rFonts w:ascii="Century" w:eastAsia="Times New Roman" w:hAnsi="Century"/>
      <w:bCs/>
      <w:caps/>
      <w:color w:val="984806"/>
      <w:kern w:val="32"/>
      <w:sz w:val="26"/>
      <w:szCs w:val="32"/>
      <w:lang w:eastAsia="fr-FR"/>
    </w:rPr>
  </w:style>
  <w:style w:type="paragraph" w:customStyle="1" w:styleId="Style3">
    <w:name w:val="Style3"/>
    <w:basedOn w:val="Normal"/>
    <w:qFormat/>
    <w:rsid w:val="00C87A80"/>
    <w:pPr>
      <w:ind w:left="567"/>
    </w:pPr>
    <w:rPr>
      <w:rFonts w:eastAsia="Times New Roman"/>
      <w:b/>
      <w:color w:val="984806" w:themeColor="accent6" w:themeShade="80"/>
      <w:lang w:eastAsia="fr-FR"/>
    </w:rPr>
  </w:style>
  <w:style w:type="paragraph" w:customStyle="1" w:styleId="Style4">
    <w:name w:val="Style4"/>
    <w:basedOn w:val="Heading2"/>
    <w:qFormat/>
    <w:rsid w:val="00C87A80"/>
    <w:pPr>
      <w:keepLines w:val="0"/>
      <w:spacing w:before="240" w:after="60"/>
    </w:pPr>
    <w:rPr>
      <w:rFonts w:cs="Arial"/>
      <w:b w:val="0"/>
      <w:iCs/>
      <w:szCs w:val="28"/>
    </w:rPr>
  </w:style>
  <w:style w:type="character" w:customStyle="1" w:styleId="Heading2Char">
    <w:name w:val="Heading 2 Char"/>
    <w:basedOn w:val="DefaultParagraphFont"/>
    <w:link w:val="Heading2"/>
    <w:uiPriority w:val="9"/>
    <w:rsid w:val="00C17C36"/>
    <w:rPr>
      <w:rFonts w:ascii="Century" w:eastAsia="Times New Roman" w:hAnsi="Century"/>
      <w:b/>
      <w:bCs/>
      <w:color w:val="984806"/>
      <w:sz w:val="26"/>
      <w:szCs w:val="26"/>
      <w:lang w:eastAsia="fr-FR"/>
    </w:rPr>
  </w:style>
  <w:style w:type="paragraph" w:customStyle="1" w:styleId="Style6">
    <w:name w:val="Style6"/>
    <w:basedOn w:val="Normal"/>
    <w:qFormat/>
    <w:rsid w:val="00C87A80"/>
    <w:pPr>
      <w:keepNext/>
      <w:spacing w:before="240" w:after="60"/>
      <w:ind w:left="567"/>
      <w:outlineLvl w:val="1"/>
    </w:pPr>
    <w:rPr>
      <w:rFonts w:eastAsia="Times New Roman" w:cs="Arial"/>
      <w:bCs/>
      <w:iCs/>
      <w:color w:val="984806" w:themeColor="accent6" w:themeShade="80"/>
      <w:szCs w:val="28"/>
      <w:lang w:eastAsia="fr-FR"/>
    </w:rPr>
  </w:style>
  <w:style w:type="paragraph" w:customStyle="1" w:styleId="Style7">
    <w:name w:val="Style7"/>
    <w:basedOn w:val="Style6"/>
    <w:qFormat/>
    <w:rsid w:val="00C87A80"/>
    <w:pPr>
      <w:ind w:left="1134"/>
    </w:pPr>
  </w:style>
  <w:style w:type="paragraph" w:customStyle="1" w:styleId="Style8">
    <w:name w:val="Style8"/>
    <w:basedOn w:val="Heading3"/>
    <w:qFormat/>
    <w:rsid w:val="00C87A80"/>
    <w:pPr>
      <w:spacing w:before="240" w:after="60"/>
    </w:pPr>
  </w:style>
  <w:style w:type="character" w:customStyle="1" w:styleId="Heading3Char">
    <w:name w:val="Heading 3 Char"/>
    <w:basedOn w:val="DefaultParagraphFont"/>
    <w:link w:val="Heading3"/>
    <w:rsid w:val="00795FF9"/>
    <w:rPr>
      <w:rFonts w:ascii="Century" w:eastAsia="Times New Roman" w:hAnsi="Century" w:cs="Arial"/>
      <w:b/>
      <w:bCs/>
      <w:color w:val="984806"/>
      <w:szCs w:val="26"/>
      <w:lang w:eastAsia="fr-FR"/>
    </w:rPr>
  </w:style>
  <w:style w:type="paragraph" w:customStyle="1" w:styleId="Style9">
    <w:name w:val="Style9"/>
    <w:basedOn w:val="Heading3"/>
    <w:qFormat/>
    <w:rsid w:val="00C87A80"/>
    <w:pPr>
      <w:spacing w:before="240" w:after="60"/>
    </w:pPr>
  </w:style>
  <w:style w:type="character" w:customStyle="1" w:styleId="Heading4Char">
    <w:name w:val="Heading 4 Char"/>
    <w:basedOn w:val="DefaultParagraphFont"/>
    <w:link w:val="Heading4"/>
    <w:rsid w:val="00795FF9"/>
    <w:rPr>
      <w:rFonts w:ascii="Century" w:eastAsia="Times New Roman" w:hAnsi="Century"/>
      <w:bCs/>
      <w:i/>
      <w:color w:val="984806"/>
      <w:sz w:val="22"/>
      <w:lang w:val="fr-FR" w:eastAsia="fr-F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3</Pages>
  <Words>1053</Words>
  <Characters>6005</Characters>
  <Application>Microsoft Macintosh Word</Application>
  <DocSecurity>0</DocSecurity>
  <Lines>50</Lines>
  <Paragraphs>12</Paragraphs>
  <ScaleCrop>false</ScaleCrop>
  <Company>UQAM</Company>
  <LinksUpToDate>false</LinksUpToDate>
  <CharactersWithSpaces>7374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christian Deblock</cp:lastModifiedBy>
  <cp:revision>9</cp:revision>
  <cp:lastPrinted>2011-11-11T15:55:00Z</cp:lastPrinted>
  <dcterms:created xsi:type="dcterms:W3CDTF">2011-11-11T12:55:00Z</dcterms:created>
  <dcterms:modified xsi:type="dcterms:W3CDTF">2011-11-11T20:49:00Z</dcterms:modified>
</cp:coreProperties>
</file>