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41401" w14:textId="77777777" w:rsidR="00D57E22" w:rsidRPr="00F04C53" w:rsidRDefault="00FD4196" w:rsidP="009D076C">
      <w:pPr>
        <w:spacing w:line="276" w:lineRule="auto"/>
        <w:ind w:firstLine="284"/>
        <w:jc w:val="both"/>
        <w:rPr>
          <w:rFonts w:ascii="Arial" w:eastAsia="Arial" w:hAnsi="Arial" w:cs="Arial"/>
          <w:lang w:val="en-CA"/>
        </w:rPr>
      </w:pPr>
      <w:r w:rsidRPr="00F04C53">
        <w:rPr>
          <w:rFonts w:ascii="Arial" w:eastAsia="Arial" w:hAnsi="Arial" w:cs="Arial"/>
          <w:lang w:val="en-CA"/>
        </w:rPr>
        <w:t xml:space="preserve"> </w:t>
      </w:r>
    </w:p>
    <w:p w14:paraId="32501752" w14:textId="77777777" w:rsidR="00D57E22" w:rsidRPr="00F04C53" w:rsidRDefault="00FD4196" w:rsidP="009D076C">
      <w:pPr>
        <w:tabs>
          <w:tab w:val="left" w:pos="3168"/>
        </w:tabs>
        <w:spacing w:line="276" w:lineRule="auto"/>
        <w:ind w:firstLine="284"/>
        <w:jc w:val="both"/>
        <w:rPr>
          <w:rFonts w:ascii="Arial" w:eastAsia="Arial" w:hAnsi="Arial" w:cs="Arial"/>
          <w:lang w:val="en-CA"/>
        </w:rPr>
      </w:pPr>
      <w:r w:rsidRPr="00F04C53">
        <w:rPr>
          <w:rFonts w:ascii="Arial" w:eastAsia="Arial" w:hAnsi="Arial" w:cs="Arial"/>
          <w:lang w:val="en-CA"/>
        </w:rPr>
        <w:tab/>
      </w:r>
    </w:p>
    <w:tbl>
      <w:tblPr>
        <w:tblStyle w:val="a3"/>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0C48DC" w:rsidRPr="00F04C53" w14:paraId="6C2617C9" w14:textId="77777777">
        <w:tc>
          <w:tcPr>
            <w:tcW w:w="8221" w:type="dxa"/>
            <w:shd w:val="clear" w:color="auto" w:fill="F4B083"/>
          </w:tcPr>
          <w:p w14:paraId="459B7E07" w14:textId="77777777" w:rsidR="00D57E22" w:rsidRPr="00F04C53" w:rsidRDefault="00D57E22" w:rsidP="009D076C">
            <w:pPr>
              <w:spacing w:line="276" w:lineRule="auto"/>
              <w:ind w:left="-113" w:hanging="140"/>
              <w:jc w:val="center"/>
              <w:rPr>
                <w:rFonts w:ascii="Arial" w:eastAsia="Arial" w:hAnsi="Arial" w:cs="Arial"/>
                <w:b/>
                <w:sz w:val="28"/>
                <w:szCs w:val="28"/>
                <w:lang w:val="en-CA"/>
              </w:rPr>
            </w:pPr>
          </w:p>
          <w:p w14:paraId="01855813" w14:textId="77777777" w:rsidR="009B05BB" w:rsidRPr="00F04C53" w:rsidRDefault="009B05BB" w:rsidP="009B05BB">
            <w:pPr>
              <w:spacing w:line="276" w:lineRule="auto"/>
              <w:jc w:val="center"/>
              <w:rPr>
                <w:rFonts w:ascii="Arial" w:eastAsia="Arial" w:hAnsi="Arial" w:cs="Arial"/>
                <w:b/>
                <w:sz w:val="28"/>
                <w:szCs w:val="28"/>
                <w:lang w:val="en-CA"/>
              </w:rPr>
            </w:pPr>
            <w:r w:rsidRPr="00F04C53">
              <w:rPr>
                <w:rFonts w:ascii="Arial" w:eastAsia="Arial" w:hAnsi="Arial" w:cs="Arial"/>
                <w:b/>
                <w:sz w:val="28"/>
                <w:szCs w:val="28"/>
                <w:lang w:val="en-CA"/>
              </w:rPr>
              <w:t xml:space="preserve">Cultural governance and platforms: </w:t>
            </w:r>
          </w:p>
          <w:p w14:paraId="76538728" w14:textId="78770FB8" w:rsidR="00D57E22" w:rsidRPr="00F04C53" w:rsidRDefault="00656782" w:rsidP="009B05BB">
            <w:pPr>
              <w:spacing w:line="276" w:lineRule="auto"/>
              <w:jc w:val="center"/>
              <w:rPr>
                <w:rFonts w:ascii="Arial" w:eastAsia="Arial" w:hAnsi="Arial" w:cs="Arial"/>
                <w:b/>
                <w:sz w:val="28"/>
                <w:szCs w:val="28"/>
                <w:lang w:val="en-CA"/>
              </w:rPr>
            </w:pPr>
            <w:r w:rsidRPr="00F04C53">
              <w:rPr>
                <w:rFonts w:ascii="Arial" w:eastAsia="Arial" w:hAnsi="Arial" w:cs="Arial"/>
                <w:b/>
                <w:sz w:val="28"/>
                <w:szCs w:val="28"/>
                <w:lang w:val="en-CA"/>
              </w:rPr>
              <w:t>Unfair practices and regulation issues</w:t>
            </w:r>
          </w:p>
          <w:p w14:paraId="7413E43B" w14:textId="77777777" w:rsidR="009D6A46" w:rsidRPr="00F04C53" w:rsidRDefault="009D6A46" w:rsidP="009D076C">
            <w:pPr>
              <w:spacing w:line="276" w:lineRule="auto"/>
              <w:ind w:firstLine="30"/>
              <w:jc w:val="center"/>
              <w:rPr>
                <w:rFonts w:ascii="Arial" w:eastAsia="Arial" w:hAnsi="Arial" w:cs="Arial"/>
                <w:lang w:val="en-CA"/>
              </w:rPr>
            </w:pPr>
          </w:p>
          <w:p w14:paraId="7D74FB32" w14:textId="53C97ED7" w:rsidR="00D57E22" w:rsidRPr="00770B38" w:rsidRDefault="00FD4196" w:rsidP="009D076C">
            <w:pPr>
              <w:spacing w:line="276" w:lineRule="auto"/>
              <w:ind w:firstLine="30"/>
              <w:jc w:val="center"/>
              <w:rPr>
                <w:rFonts w:ascii="Arial" w:eastAsia="Arial" w:hAnsi="Arial" w:cs="Arial"/>
              </w:rPr>
            </w:pPr>
            <w:r w:rsidRPr="00770B38">
              <w:rPr>
                <w:rFonts w:ascii="Arial" w:eastAsia="Arial" w:hAnsi="Arial" w:cs="Arial"/>
              </w:rPr>
              <w:t>by Antonios Vlassis (PhD)</w:t>
            </w:r>
          </w:p>
          <w:p w14:paraId="0BD59C23" w14:textId="30020946" w:rsidR="00D57E22" w:rsidRPr="00770B38" w:rsidRDefault="00FD4196" w:rsidP="009D076C">
            <w:pPr>
              <w:spacing w:line="276" w:lineRule="auto"/>
              <w:ind w:firstLine="30"/>
              <w:jc w:val="center"/>
              <w:rPr>
                <w:rFonts w:ascii="Arial" w:eastAsia="Arial" w:hAnsi="Arial" w:cs="Arial"/>
              </w:rPr>
            </w:pPr>
            <w:r w:rsidRPr="00770B38">
              <w:rPr>
                <w:rFonts w:ascii="Arial" w:eastAsia="Arial" w:hAnsi="Arial" w:cs="Arial"/>
              </w:rPr>
              <w:t>(Center for International Relations Studies-CEFIR, Universi</w:t>
            </w:r>
            <w:r w:rsidR="00DB4137" w:rsidRPr="00770B38">
              <w:rPr>
                <w:rFonts w:ascii="Arial" w:eastAsia="Arial" w:hAnsi="Arial" w:cs="Arial"/>
              </w:rPr>
              <w:t>té</w:t>
            </w:r>
            <w:r w:rsidRPr="00770B38">
              <w:rPr>
                <w:rFonts w:ascii="Arial" w:eastAsia="Arial" w:hAnsi="Arial" w:cs="Arial"/>
              </w:rPr>
              <w:t xml:space="preserve"> de Liège)</w:t>
            </w:r>
          </w:p>
          <w:p w14:paraId="1CD39EA5" w14:textId="77777777" w:rsidR="00D57E22" w:rsidRPr="00770B38" w:rsidRDefault="00D57E22" w:rsidP="009D076C">
            <w:pPr>
              <w:spacing w:line="276" w:lineRule="auto"/>
              <w:ind w:firstLine="30"/>
              <w:jc w:val="center"/>
              <w:rPr>
                <w:rFonts w:ascii="Arial" w:eastAsia="Arial" w:hAnsi="Arial" w:cs="Arial"/>
              </w:rPr>
            </w:pPr>
          </w:p>
          <w:p w14:paraId="7D79CEB1" w14:textId="77777777" w:rsidR="00D57E22" w:rsidRPr="00F04C53" w:rsidRDefault="00FD4196" w:rsidP="009D076C">
            <w:pPr>
              <w:spacing w:line="276" w:lineRule="auto"/>
              <w:ind w:firstLine="30"/>
              <w:jc w:val="center"/>
              <w:rPr>
                <w:rFonts w:ascii="Arial" w:eastAsia="Arial" w:hAnsi="Arial" w:cs="Arial"/>
                <w:b/>
                <w:lang w:val="en-CA"/>
              </w:rPr>
            </w:pPr>
            <w:r w:rsidRPr="00F04C53">
              <w:rPr>
                <w:rFonts w:ascii="Arial" w:eastAsia="Arial" w:hAnsi="Arial" w:cs="Arial"/>
                <w:b/>
                <w:lang w:val="en-CA"/>
              </w:rPr>
              <w:t>Analytical report</w:t>
            </w:r>
          </w:p>
          <w:p w14:paraId="44FB69B1" w14:textId="2BD5286C" w:rsidR="00D57E22" w:rsidRPr="00F04C53" w:rsidRDefault="00FD4196" w:rsidP="009D076C">
            <w:pPr>
              <w:spacing w:line="276" w:lineRule="auto"/>
              <w:ind w:firstLine="30"/>
              <w:jc w:val="center"/>
              <w:rPr>
                <w:rFonts w:ascii="Arial" w:eastAsia="Arial" w:hAnsi="Arial" w:cs="Arial"/>
                <w:lang w:val="en-CA"/>
              </w:rPr>
            </w:pPr>
            <w:r w:rsidRPr="00F04C53">
              <w:rPr>
                <w:rFonts w:ascii="Arial" w:eastAsia="Arial" w:hAnsi="Arial" w:cs="Arial"/>
                <w:lang w:val="en-CA"/>
              </w:rPr>
              <w:t>No. 4</w:t>
            </w:r>
            <w:r w:rsidR="00656782" w:rsidRPr="00F04C53">
              <w:rPr>
                <w:rFonts w:ascii="Arial" w:eastAsia="Arial" w:hAnsi="Arial" w:cs="Arial"/>
                <w:lang w:val="en-CA"/>
              </w:rPr>
              <w:t>3</w:t>
            </w:r>
            <w:r w:rsidRPr="00F04C53">
              <w:rPr>
                <w:rFonts w:ascii="Arial" w:eastAsia="Arial" w:hAnsi="Arial" w:cs="Arial"/>
                <w:lang w:val="en-CA"/>
              </w:rPr>
              <w:t xml:space="preserve">, </w:t>
            </w:r>
            <w:r w:rsidR="00656782" w:rsidRPr="00F04C53">
              <w:rPr>
                <w:rFonts w:ascii="Arial" w:eastAsia="Arial" w:hAnsi="Arial" w:cs="Arial"/>
                <w:lang w:val="en-CA"/>
              </w:rPr>
              <w:t>April</w:t>
            </w:r>
            <w:r w:rsidRPr="00F04C53">
              <w:rPr>
                <w:rFonts w:ascii="Arial" w:eastAsia="Arial" w:hAnsi="Arial" w:cs="Arial"/>
                <w:lang w:val="en-CA"/>
              </w:rPr>
              <w:t xml:space="preserve"> 202</w:t>
            </w:r>
            <w:r w:rsidR="00521850" w:rsidRPr="00F04C53">
              <w:rPr>
                <w:rFonts w:ascii="Arial" w:eastAsia="Arial" w:hAnsi="Arial" w:cs="Arial"/>
                <w:lang w:val="en-CA"/>
              </w:rPr>
              <w:t>4</w:t>
            </w:r>
          </w:p>
          <w:p w14:paraId="7C127BD8" w14:textId="77777777" w:rsidR="00D57E22" w:rsidRPr="00F04C53" w:rsidRDefault="00D57E22" w:rsidP="009D076C">
            <w:pPr>
              <w:tabs>
                <w:tab w:val="left" w:pos="3168"/>
              </w:tabs>
              <w:spacing w:line="276" w:lineRule="auto"/>
              <w:jc w:val="both"/>
              <w:rPr>
                <w:rFonts w:ascii="Arial" w:eastAsia="Arial" w:hAnsi="Arial" w:cs="Arial"/>
                <w:lang w:val="en-CA"/>
              </w:rPr>
            </w:pPr>
          </w:p>
        </w:tc>
      </w:tr>
    </w:tbl>
    <w:p w14:paraId="14701F75" w14:textId="643EE117" w:rsidR="00AF7089" w:rsidRPr="00F04C53" w:rsidRDefault="00FD4196" w:rsidP="00C728BA">
      <w:pPr>
        <w:spacing w:before="288" w:after="288" w:line="276" w:lineRule="auto"/>
        <w:ind w:left="426" w:right="714"/>
        <w:jc w:val="both"/>
        <w:rPr>
          <w:rFonts w:ascii="Arial" w:hAnsi="Arial" w:cs="Arial"/>
          <w:iCs/>
          <w:sz w:val="22"/>
          <w:szCs w:val="22"/>
          <w:lang w:val="en-CA"/>
        </w:rPr>
      </w:pPr>
      <w:r w:rsidRPr="00F04C53">
        <w:rPr>
          <w:rFonts w:ascii="Arial" w:eastAsia="Arial" w:hAnsi="Arial" w:cs="Arial"/>
          <w:sz w:val="22"/>
          <w:szCs w:val="22"/>
          <w:lang w:val="en-CA"/>
        </w:rPr>
        <w:t>The</w:t>
      </w:r>
      <w:r w:rsidR="000E646D" w:rsidRPr="00F04C53">
        <w:rPr>
          <w:rFonts w:ascii="Arial" w:eastAsia="Arial" w:hAnsi="Arial" w:cs="Arial"/>
          <w:sz w:val="22"/>
          <w:szCs w:val="22"/>
          <w:lang w:val="en-CA"/>
        </w:rPr>
        <w:t xml:space="preserve"> </w:t>
      </w:r>
      <w:r w:rsidR="00656782" w:rsidRPr="00F04C53">
        <w:rPr>
          <w:rFonts w:ascii="Arial" w:eastAsia="Arial" w:hAnsi="Arial" w:cs="Arial"/>
          <w:sz w:val="22"/>
          <w:szCs w:val="22"/>
          <w:lang w:val="en-CA"/>
        </w:rPr>
        <w:t>April</w:t>
      </w:r>
      <w:r w:rsidRPr="00F04C53">
        <w:rPr>
          <w:rFonts w:ascii="Arial" w:eastAsia="Arial" w:hAnsi="Arial" w:cs="Arial"/>
          <w:sz w:val="22"/>
          <w:szCs w:val="22"/>
          <w:lang w:val="en-CA"/>
        </w:rPr>
        <w:t xml:space="preserve"> report begins with</w:t>
      </w:r>
      <w:r w:rsidR="00656782" w:rsidRPr="00F04C53">
        <w:rPr>
          <w:rFonts w:ascii="Arial" w:eastAsia="Arial" w:hAnsi="Arial" w:cs="Arial"/>
          <w:sz w:val="22"/>
          <w:szCs w:val="22"/>
          <w:lang w:val="en-CA"/>
        </w:rPr>
        <w:t xml:space="preserve"> the battle between Apple and the European Commission, as the latter impose</w:t>
      </w:r>
      <w:r w:rsidR="00F04C53" w:rsidRPr="00F04C53">
        <w:rPr>
          <w:rFonts w:ascii="Arial" w:eastAsia="Arial" w:hAnsi="Arial" w:cs="Arial"/>
          <w:sz w:val="22"/>
          <w:szCs w:val="22"/>
          <w:lang w:val="en-CA"/>
        </w:rPr>
        <w:t>d</w:t>
      </w:r>
      <w:r w:rsidR="00656782" w:rsidRPr="00F04C53">
        <w:rPr>
          <w:rFonts w:ascii="Arial" w:eastAsia="Arial" w:hAnsi="Arial" w:cs="Arial"/>
          <w:sz w:val="22"/>
          <w:szCs w:val="22"/>
          <w:lang w:val="en-CA"/>
        </w:rPr>
        <w:t xml:space="preserve"> its first-ever fine on Apple for allegedly breaking </w:t>
      </w:r>
      <w:r w:rsidR="00B942E3">
        <w:rPr>
          <w:rFonts w:ascii="Arial" w:eastAsia="Arial" w:hAnsi="Arial" w:cs="Arial"/>
          <w:sz w:val="22"/>
          <w:szCs w:val="22"/>
          <w:lang w:val="en-CA"/>
        </w:rPr>
        <w:t>the European Union (</w:t>
      </w:r>
      <w:r w:rsidR="00656782" w:rsidRPr="00F04C53">
        <w:rPr>
          <w:rFonts w:ascii="Arial" w:eastAsia="Arial" w:hAnsi="Arial" w:cs="Arial"/>
          <w:sz w:val="22"/>
          <w:szCs w:val="22"/>
          <w:lang w:val="en-CA"/>
        </w:rPr>
        <w:t>EU</w:t>
      </w:r>
      <w:r w:rsidR="00B942E3">
        <w:rPr>
          <w:rFonts w:ascii="Arial" w:eastAsia="Arial" w:hAnsi="Arial" w:cs="Arial"/>
          <w:sz w:val="22"/>
          <w:szCs w:val="22"/>
          <w:lang w:val="en-CA"/>
        </w:rPr>
        <w:t>)</w:t>
      </w:r>
      <w:r w:rsidR="00770B38">
        <w:rPr>
          <w:rFonts w:ascii="Arial" w:eastAsia="Arial" w:hAnsi="Arial" w:cs="Arial"/>
          <w:sz w:val="22"/>
          <w:szCs w:val="22"/>
          <w:lang w:val="en-CA"/>
        </w:rPr>
        <w:t xml:space="preserve"> competition</w:t>
      </w:r>
      <w:r w:rsidR="00656782" w:rsidRPr="00F04C53">
        <w:rPr>
          <w:rFonts w:ascii="Arial" w:eastAsia="Arial" w:hAnsi="Arial" w:cs="Arial"/>
          <w:sz w:val="22"/>
          <w:szCs w:val="22"/>
          <w:lang w:val="en-CA"/>
        </w:rPr>
        <w:t xml:space="preserve"> law over its music streaming service.</w:t>
      </w:r>
      <w:r w:rsidR="00F04C53" w:rsidRPr="00F04C53">
        <w:rPr>
          <w:rFonts w:ascii="Arial" w:eastAsia="Arial" w:hAnsi="Arial" w:cs="Arial"/>
          <w:sz w:val="22"/>
          <w:szCs w:val="22"/>
          <w:lang w:val="en-CA"/>
        </w:rPr>
        <w:t xml:space="preserve"> In addition, the report focuses on two </w:t>
      </w:r>
      <w:r w:rsidR="00770B38">
        <w:rPr>
          <w:rFonts w:ascii="Arial" w:eastAsia="Arial" w:hAnsi="Arial" w:cs="Arial"/>
          <w:sz w:val="22"/>
          <w:szCs w:val="22"/>
          <w:lang w:val="en-CA"/>
        </w:rPr>
        <w:t>studies</w:t>
      </w:r>
      <w:r w:rsidR="00F04C53" w:rsidRPr="00F04C53">
        <w:rPr>
          <w:rFonts w:ascii="Arial" w:eastAsia="Arial" w:hAnsi="Arial" w:cs="Arial"/>
          <w:sz w:val="22"/>
          <w:szCs w:val="22"/>
          <w:lang w:val="en-CA"/>
        </w:rPr>
        <w:t xml:space="preserve"> from the European Audiovisual Observatory dealing with the European audiovisual streaming market. Moreover, the report highlights two key statements coming from a high number of organi</w:t>
      </w:r>
      <w:r w:rsidR="003756CA">
        <w:rPr>
          <w:rFonts w:ascii="Arial" w:eastAsia="Arial" w:hAnsi="Arial" w:cs="Arial"/>
          <w:sz w:val="22"/>
          <w:szCs w:val="22"/>
          <w:lang w:val="en-CA"/>
        </w:rPr>
        <w:t>z</w:t>
      </w:r>
      <w:r w:rsidR="00F04C53" w:rsidRPr="00F04C53">
        <w:rPr>
          <w:rFonts w:ascii="Arial" w:eastAsia="Arial" w:hAnsi="Arial" w:cs="Arial"/>
          <w:sz w:val="22"/>
          <w:szCs w:val="22"/>
          <w:lang w:val="en-CA"/>
        </w:rPr>
        <w:t xml:space="preserve">ations active </w:t>
      </w:r>
      <w:r w:rsidR="00F04C53" w:rsidRPr="00F04C53">
        <w:rPr>
          <w:rFonts w:ascii="Arial" w:hAnsi="Arial" w:cs="Arial"/>
          <w:sz w:val="22"/>
          <w:szCs w:val="22"/>
          <w:shd w:val="clear" w:color="auto" w:fill="FFFFFF"/>
          <w:lang w:val="en-CA"/>
        </w:rPr>
        <w:t xml:space="preserve">in the cultural and creative industries, </w:t>
      </w:r>
      <w:r w:rsidR="00770B38">
        <w:rPr>
          <w:rFonts w:ascii="Arial" w:hAnsi="Arial" w:cs="Arial"/>
          <w:sz w:val="22"/>
          <w:szCs w:val="22"/>
          <w:shd w:val="clear" w:color="auto" w:fill="FFFFFF"/>
          <w:lang w:val="en-CA"/>
        </w:rPr>
        <w:t>wh</w:t>
      </w:r>
      <w:r w:rsidR="003756CA">
        <w:rPr>
          <w:rFonts w:ascii="Arial" w:hAnsi="Arial" w:cs="Arial"/>
          <w:sz w:val="22"/>
          <w:szCs w:val="22"/>
          <w:shd w:val="clear" w:color="auto" w:fill="FFFFFF"/>
          <w:lang w:val="en-CA"/>
        </w:rPr>
        <w:t xml:space="preserve">ich </w:t>
      </w:r>
      <w:r w:rsidR="00770B38">
        <w:rPr>
          <w:rFonts w:ascii="Arial" w:hAnsi="Arial" w:cs="Arial"/>
          <w:sz w:val="22"/>
          <w:szCs w:val="22"/>
          <w:shd w:val="clear" w:color="auto" w:fill="FFFFFF"/>
          <w:lang w:val="en-CA"/>
        </w:rPr>
        <w:t xml:space="preserve">are </w:t>
      </w:r>
      <w:r w:rsidR="00F04C53" w:rsidRPr="00F04C53">
        <w:rPr>
          <w:rFonts w:ascii="Arial" w:hAnsi="Arial" w:cs="Arial"/>
          <w:sz w:val="22"/>
          <w:szCs w:val="22"/>
          <w:shd w:val="clear" w:color="auto" w:fill="FFFFFF"/>
          <w:lang w:val="en-CA"/>
        </w:rPr>
        <w:t>asking for a targeted regulation toward artificial intelligence</w:t>
      </w:r>
      <w:r w:rsidR="005A67C9">
        <w:rPr>
          <w:rFonts w:ascii="Arial" w:hAnsi="Arial" w:cs="Arial"/>
          <w:sz w:val="22"/>
          <w:szCs w:val="22"/>
          <w:shd w:val="clear" w:color="auto" w:fill="FFFFFF"/>
          <w:lang w:val="en-CA"/>
        </w:rPr>
        <w:t xml:space="preserve"> (AI)</w:t>
      </w:r>
      <w:r w:rsidR="00F04C53" w:rsidRPr="00F04C53">
        <w:rPr>
          <w:rFonts w:ascii="Arial" w:hAnsi="Arial" w:cs="Arial"/>
          <w:sz w:val="22"/>
          <w:szCs w:val="22"/>
          <w:shd w:val="clear" w:color="auto" w:fill="FFFFFF"/>
          <w:lang w:val="en-CA"/>
        </w:rPr>
        <w:t xml:space="preserve"> systems and practices of streaming platforms. </w:t>
      </w:r>
      <w:r w:rsidR="00C728BA" w:rsidRPr="00F04C53">
        <w:rPr>
          <w:rFonts w:ascii="Arial" w:eastAsia="Arial" w:hAnsi="Arial" w:cs="Arial"/>
          <w:sz w:val="22"/>
          <w:szCs w:val="22"/>
          <w:lang w:val="en-CA"/>
        </w:rPr>
        <w:t>T</w:t>
      </w:r>
      <w:r w:rsidR="00521850" w:rsidRPr="00F04C53">
        <w:rPr>
          <w:rFonts w:ascii="Arial" w:eastAsia="Arial" w:hAnsi="Arial" w:cs="Arial"/>
          <w:sz w:val="22"/>
          <w:szCs w:val="22"/>
          <w:lang w:val="en-CA"/>
        </w:rPr>
        <w:t>he report</w:t>
      </w:r>
      <w:r w:rsidRPr="00F04C53">
        <w:rPr>
          <w:rFonts w:ascii="Arial" w:eastAsia="Arial" w:hAnsi="Arial" w:cs="Arial"/>
          <w:sz w:val="22"/>
          <w:szCs w:val="22"/>
          <w:lang w:val="en-CA"/>
        </w:rPr>
        <w:t xml:space="preserve"> also </w:t>
      </w:r>
      <w:r w:rsidR="00C728BA" w:rsidRPr="00F04C53">
        <w:rPr>
          <w:rFonts w:ascii="Arial" w:eastAsia="Arial" w:hAnsi="Arial" w:cs="Arial"/>
          <w:sz w:val="22"/>
          <w:szCs w:val="22"/>
          <w:lang w:val="en-CA"/>
        </w:rPr>
        <w:t>focuses on</w:t>
      </w:r>
      <w:r w:rsidR="00F04C53" w:rsidRPr="00F04C53">
        <w:rPr>
          <w:rFonts w:ascii="Arial" w:eastAsia="Arial" w:hAnsi="Arial" w:cs="Arial"/>
          <w:sz w:val="22"/>
          <w:szCs w:val="22"/>
          <w:lang w:val="en-CA"/>
        </w:rPr>
        <w:t xml:space="preserve"> the new </w:t>
      </w:r>
      <w:r w:rsidR="00770B38">
        <w:rPr>
          <w:rFonts w:ascii="Arial" w:eastAsia="Arial" w:hAnsi="Arial" w:cs="Arial"/>
          <w:sz w:val="22"/>
          <w:szCs w:val="22"/>
          <w:lang w:val="en-CA"/>
        </w:rPr>
        <w:t>study</w:t>
      </w:r>
      <w:r w:rsidR="00F04C53" w:rsidRPr="00F04C53">
        <w:rPr>
          <w:rFonts w:ascii="Arial" w:eastAsia="Arial" w:hAnsi="Arial" w:cs="Arial"/>
          <w:sz w:val="22"/>
          <w:szCs w:val="22"/>
          <w:lang w:val="en-CA"/>
        </w:rPr>
        <w:t xml:space="preserve"> from the International Federation of </w:t>
      </w:r>
      <w:r w:rsidR="002018CB">
        <w:rPr>
          <w:rFonts w:ascii="Arial" w:eastAsia="Arial" w:hAnsi="Arial" w:cs="Arial"/>
          <w:sz w:val="22"/>
          <w:szCs w:val="22"/>
          <w:lang w:val="en-CA"/>
        </w:rPr>
        <w:t xml:space="preserve">the </w:t>
      </w:r>
      <w:r w:rsidR="00F04C53" w:rsidRPr="00F04C53">
        <w:rPr>
          <w:rFonts w:ascii="Arial" w:eastAsia="Arial" w:hAnsi="Arial" w:cs="Arial"/>
          <w:sz w:val="22"/>
          <w:szCs w:val="22"/>
          <w:lang w:val="en-CA"/>
        </w:rPr>
        <w:t>Phonographic Industry on the</w:t>
      </w:r>
      <w:r w:rsidR="00F04C53" w:rsidRPr="00F04C53">
        <w:rPr>
          <w:rFonts w:ascii="Arial" w:hAnsi="Arial" w:cs="Arial"/>
          <w:sz w:val="22"/>
          <w:szCs w:val="22"/>
          <w:lang w:val="en-CA"/>
        </w:rPr>
        <w:t xml:space="preserve"> global recorded music revenues</w:t>
      </w:r>
      <w:r w:rsidR="00F04C53" w:rsidRPr="00F04C53">
        <w:rPr>
          <w:rFonts w:ascii="Arial" w:eastAsia="Arial" w:hAnsi="Arial" w:cs="Arial"/>
          <w:sz w:val="22"/>
          <w:szCs w:val="22"/>
          <w:lang w:val="en-CA"/>
        </w:rPr>
        <w:t>. Finally,</w:t>
      </w:r>
      <w:r w:rsidRPr="00F04C53">
        <w:rPr>
          <w:rFonts w:ascii="Arial" w:eastAsia="Arial" w:hAnsi="Arial" w:cs="Arial"/>
          <w:sz w:val="22"/>
          <w:szCs w:val="22"/>
          <w:lang w:val="en-CA"/>
        </w:rPr>
        <w:t xml:space="preserve"> the report emphasizes new partnerships </w:t>
      </w:r>
      <w:r w:rsidR="00F04C53" w:rsidRPr="00F04C53">
        <w:rPr>
          <w:rFonts w:ascii="Arial" w:eastAsia="Arial" w:hAnsi="Arial" w:cs="Arial"/>
          <w:sz w:val="22"/>
          <w:szCs w:val="22"/>
          <w:lang w:val="en-CA"/>
        </w:rPr>
        <w:t xml:space="preserve">and </w:t>
      </w:r>
      <w:r w:rsidRPr="00F04C53">
        <w:rPr>
          <w:rFonts w:ascii="Arial" w:eastAsia="Arial" w:hAnsi="Arial" w:cs="Arial"/>
          <w:sz w:val="22"/>
          <w:szCs w:val="22"/>
          <w:lang w:val="en-CA"/>
        </w:rPr>
        <w:t>the struggle for subscribers and geographical expansion among streaming services,</w:t>
      </w:r>
      <w:r w:rsidR="00F04C53" w:rsidRPr="00F04C53">
        <w:rPr>
          <w:rFonts w:ascii="Arial" w:eastAsia="Arial" w:hAnsi="Arial" w:cs="Arial"/>
          <w:sz w:val="22"/>
          <w:szCs w:val="22"/>
          <w:lang w:val="en-CA"/>
        </w:rPr>
        <w:t xml:space="preserve"> focusing on BBC, Disney Plus, Spotify, and France Télévisions.</w:t>
      </w:r>
      <w:r w:rsidRPr="00F04C53">
        <w:rPr>
          <w:rFonts w:ascii="Arial" w:eastAsia="Arial" w:hAnsi="Arial" w:cs="Arial"/>
          <w:sz w:val="22"/>
          <w:szCs w:val="22"/>
          <w:lang w:val="en-CA"/>
        </w:rPr>
        <w:t xml:space="preserve"> </w:t>
      </w:r>
    </w:p>
    <w:p w14:paraId="7C95C630" w14:textId="77777777" w:rsidR="004B5A7F" w:rsidRPr="00F04C53" w:rsidRDefault="00FD4196" w:rsidP="004B5A7F">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b/>
          <w:sz w:val="22"/>
          <w:szCs w:val="22"/>
          <w:lang w:val="en-CA"/>
        </w:rPr>
        <w:t xml:space="preserve">Regulation issues, digital </w:t>
      </w:r>
      <w:r w:rsidR="0027614C" w:rsidRPr="00F04C53">
        <w:rPr>
          <w:rFonts w:ascii="Arial" w:eastAsia="Arial" w:hAnsi="Arial" w:cs="Arial"/>
          <w:b/>
          <w:sz w:val="22"/>
          <w:szCs w:val="22"/>
          <w:lang w:val="en-CA"/>
        </w:rPr>
        <w:t>trade,</w:t>
      </w:r>
      <w:r w:rsidRPr="00F04C53">
        <w:rPr>
          <w:rFonts w:ascii="Arial" w:eastAsia="Arial" w:hAnsi="Arial" w:cs="Arial"/>
          <w:b/>
          <w:sz w:val="22"/>
          <w:szCs w:val="22"/>
          <w:lang w:val="en-CA"/>
        </w:rPr>
        <w:t xml:space="preserve"> and culture</w:t>
      </w:r>
    </w:p>
    <w:p w14:paraId="6C2DA2C3" w14:textId="2CD0ADE5" w:rsidR="00D57E22" w:rsidRPr="00F04C53" w:rsidRDefault="0079492F" w:rsidP="004B5A7F">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i/>
          <w:sz w:val="22"/>
          <w:szCs w:val="22"/>
          <w:lang w:val="en-CA"/>
        </w:rPr>
        <w:t>Apple vs. Spotify over anticompetitive practices</w:t>
      </w:r>
    </w:p>
    <w:p w14:paraId="56BA4546" w14:textId="2FC6E4A2" w:rsidR="000C2EB4" w:rsidRPr="00F04C53" w:rsidRDefault="00FE2416" w:rsidP="00FE2416">
      <w:pPr>
        <w:spacing w:before="288" w:after="288" w:line="276" w:lineRule="auto"/>
        <w:ind w:left="426" w:right="714"/>
        <w:jc w:val="both"/>
        <w:rPr>
          <w:rFonts w:ascii="Arial" w:eastAsia="Arial" w:hAnsi="Arial" w:cs="Arial"/>
          <w:iCs/>
          <w:sz w:val="22"/>
          <w:szCs w:val="22"/>
          <w:lang w:val="en-CA"/>
        </w:rPr>
      </w:pPr>
      <w:r w:rsidRPr="00F04C53">
        <w:rPr>
          <w:rFonts w:ascii="Arial" w:eastAsia="Arial" w:hAnsi="Arial" w:cs="Arial"/>
          <w:iCs/>
          <w:sz w:val="22"/>
          <w:szCs w:val="22"/>
          <w:lang w:val="en-CA"/>
        </w:rPr>
        <w:t xml:space="preserve">Early March, the European </w:t>
      </w:r>
      <w:hyperlink r:id="rId11" w:history="1">
        <w:r w:rsidRPr="00F04C53">
          <w:rPr>
            <w:rStyle w:val="Hyperlink"/>
            <w:rFonts w:ascii="Arial" w:eastAsia="Arial" w:hAnsi="Arial" w:cs="Arial"/>
            <w:iCs/>
            <w:sz w:val="22"/>
            <w:szCs w:val="22"/>
            <w:lang w:val="en-CA"/>
          </w:rPr>
          <w:t>Commission</w:t>
        </w:r>
      </w:hyperlink>
      <w:r w:rsidRPr="00F04C53">
        <w:rPr>
          <w:rFonts w:ascii="Arial" w:eastAsia="Arial" w:hAnsi="Arial" w:cs="Arial"/>
          <w:iCs/>
          <w:sz w:val="22"/>
          <w:szCs w:val="22"/>
          <w:lang w:val="en-CA"/>
        </w:rPr>
        <w:t xml:space="preserve"> issued a historic fine of 1.84 billion euros over Apple’s anticompetitive practices</w:t>
      </w:r>
      <w:r w:rsidR="000C2EB4" w:rsidRPr="00F04C53">
        <w:rPr>
          <w:rFonts w:ascii="Arial" w:eastAsia="Arial" w:hAnsi="Arial" w:cs="Arial"/>
          <w:iCs/>
          <w:sz w:val="22"/>
          <w:szCs w:val="22"/>
          <w:lang w:val="en-CA"/>
        </w:rPr>
        <w:t xml:space="preserve"> and “unfair trading conditions”</w:t>
      </w:r>
      <w:r w:rsidRPr="00F04C53">
        <w:rPr>
          <w:rFonts w:ascii="Arial" w:eastAsia="Arial" w:hAnsi="Arial" w:cs="Arial"/>
          <w:iCs/>
          <w:sz w:val="22"/>
          <w:szCs w:val="22"/>
          <w:lang w:val="en-CA"/>
        </w:rPr>
        <w:t xml:space="preserve"> in the streaming music market. In a </w:t>
      </w:r>
      <w:hyperlink r:id="rId12" w:history="1">
        <w:r w:rsidRPr="00F04C53">
          <w:rPr>
            <w:rStyle w:val="Hyperlink"/>
            <w:rFonts w:ascii="Arial" w:eastAsia="Arial" w:hAnsi="Arial" w:cs="Arial"/>
            <w:iCs/>
            <w:sz w:val="22"/>
            <w:szCs w:val="22"/>
            <w:lang w:val="en-CA"/>
          </w:rPr>
          <w:t>newsroom post</w:t>
        </w:r>
      </w:hyperlink>
      <w:r w:rsidRPr="00F04C53">
        <w:rPr>
          <w:rFonts w:ascii="Arial" w:eastAsia="Arial" w:hAnsi="Arial" w:cs="Arial"/>
          <w:iCs/>
          <w:sz w:val="22"/>
          <w:szCs w:val="22"/>
          <w:lang w:val="en-CA"/>
        </w:rPr>
        <w:t xml:space="preserve">, Apple said that while it respects the European Commission, the facts don’t support the decision and “as a result, Apple will appeal”. In addition, Apple explicitly mentioned that the primary advocate of the Commission’s decision and “the biggest beneficiary is Spotify, a company based in Stockholm, Sweden. Spotify has the largest music streaming app in the world, and has met with the European Commission more than 65 times during this investigation. Today, Spotify has </w:t>
      </w:r>
      <w:r w:rsidR="002451D8">
        <w:rPr>
          <w:rFonts w:ascii="Arial" w:eastAsia="Arial" w:hAnsi="Arial" w:cs="Arial"/>
          <w:iCs/>
          <w:sz w:val="22"/>
          <w:szCs w:val="22"/>
          <w:lang w:val="en-CA"/>
        </w:rPr>
        <w:t xml:space="preserve">a </w:t>
      </w:r>
      <w:r w:rsidRPr="00F04C53">
        <w:rPr>
          <w:rFonts w:ascii="Arial" w:eastAsia="Arial" w:hAnsi="Arial" w:cs="Arial"/>
          <w:iCs/>
          <w:sz w:val="22"/>
          <w:szCs w:val="22"/>
          <w:lang w:val="en-CA"/>
        </w:rPr>
        <w:t>56</w:t>
      </w:r>
      <w:r w:rsidR="002451D8">
        <w:rPr>
          <w:rFonts w:ascii="Arial" w:eastAsia="Arial" w:hAnsi="Arial" w:cs="Arial"/>
          <w:iCs/>
          <w:sz w:val="22"/>
          <w:szCs w:val="22"/>
          <w:lang w:val="en-CA"/>
        </w:rPr>
        <w:t>%</w:t>
      </w:r>
      <w:r w:rsidRPr="00F04C53">
        <w:rPr>
          <w:rFonts w:ascii="Arial" w:eastAsia="Arial" w:hAnsi="Arial" w:cs="Arial"/>
          <w:iCs/>
          <w:sz w:val="22"/>
          <w:szCs w:val="22"/>
          <w:lang w:val="en-CA"/>
        </w:rPr>
        <w:t xml:space="preserve"> share of Europe’s music streaming market – more than double </w:t>
      </w:r>
      <w:r w:rsidRPr="00F04C53">
        <w:rPr>
          <w:rFonts w:ascii="Arial" w:eastAsia="Arial" w:hAnsi="Arial" w:cs="Arial"/>
          <w:iCs/>
          <w:sz w:val="22"/>
          <w:szCs w:val="22"/>
          <w:lang w:val="en-CA"/>
        </w:rPr>
        <w:lastRenderedPageBreak/>
        <w:t xml:space="preserve">their closest competitor’s – and pays Apple nothing for the services that have helped make them one of the most recognizable brands in the world”. </w:t>
      </w:r>
    </w:p>
    <w:p w14:paraId="4FAC45EB" w14:textId="5711705B" w:rsidR="00FE2416" w:rsidRPr="00F04C53" w:rsidRDefault="000C2EB4" w:rsidP="00FE2416">
      <w:pPr>
        <w:spacing w:before="288" w:after="288" w:line="276" w:lineRule="auto"/>
        <w:ind w:left="426" w:right="714"/>
        <w:jc w:val="both"/>
        <w:rPr>
          <w:rFonts w:ascii="Arial" w:eastAsia="Arial" w:hAnsi="Arial" w:cs="Arial"/>
          <w:iCs/>
          <w:sz w:val="22"/>
          <w:szCs w:val="22"/>
          <w:lang w:val="en-CA"/>
        </w:rPr>
      </w:pPr>
      <w:r w:rsidRPr="00F04C53">
        <w:rPr>
          <w:rFonts w:ascii="Arial" w:eastAsia="Arial" w:hAnsi="Arial" w:cs="Arial"/>
          <w:iCs/>
          <w:sz w:val="22"/>
          <w:szCs w:val="22"/>
          <w:lang w:val="en-CA"/>
        </w:rPr>
        <w:t xml:space="preserve">In its </w:t>
      </w:r>
      <w:hyperlink r:id="rId13" w:history="1">
        <w:r w:rsidRPr="00F04C53">
          <w:rPr>
            <w:rStyle w:val="Hyperlink"/>
            <w:rFonts w:ascii="Arial" w:eastAsia="Arial" w:hAnsi="Arial" w:cs="Arial"/>
            <w:iCs/>
            <w:sz w:val="22"/>
            <w:szCs w:val="22"/>
            <w:lang w:val="en-CA"/>
          </w:rPr>
          <w:t>statement</w:t>
        </w:r>
      </w:hyperlink>
      <w:r w:rsidRPr="00F04C53">
        <w:rPr>
          <w:rFonts w:ascii="Arial" w:eastAsia="Arial" w:hAnsi="Arial" w:cs="Arial"/>
          <w:iCs/>
          <w:sz w:val="22"/>
          <w:szCs w:val="22"/>
          <w:lang w:val="en-CA"/>
        </w:rPr>
        <w:t xml:space="preserve">, </w:t>
      </w:r>
      <w:hyperlink r:id="rId14" w:history="1">
        <w:r w:rsidRPr="00F04C53">
          <w:rPr>
            <w:rStyle w:val="Hyperlink"/>
            <w:rFonts w:ascii="Arial" w:eastAsia="Arial" w:hAnsi="Arial" w:cs="Arial"/>
            <w:iCs/>
            <w:sz w:val="22"/>
            <w:szCs w:val="22"/>
            <w:lang w:val="en-CA"/>
          </w:rPr>
          <w:t>Spotify</w:t>
        </w:r>
      </w:hyperlink>
      <w:r w:rsidRPr="00F04C53">
        <w:rPr>
          <w:rFonts w:ascii="Arial" w:eastAsia="Arial" w:hAnsi="Arial" w:cs="Arial"/>
          <w:iCs/>
          <w:sz w:val="22"/>
          <w:szCs w:val="22"/>
          <w:lang w:val="en-CA"/>
        </w:rPr>
        <w:t xml:space="preserve"> highlighted that the Commission’s decision “marks an important moment in the fight for a more open internet for consumers. The European Commission has made its conclusion clear: Appl</w:t>
      </w:r>
      <w:r w:rsidR="007237E9">
        <w:rPr>
          <w:rFonts w:ascii="Arial" w:eastAsia="Arial" w:hAnsi="Arial" w:cs="Arial"/>
          <w:iCs/>
          <w:sz w:val="22"/>
          <w:szCs w:val="22"/>
          <w:lang w:val="en-CA"/>
        </w:rPr>
        <w:t>e</w:t>
      </w:r>
      <w:r w:rsidRPr="00F04C53">
        <w:rPr>
          <w:rFonts w:ascii="Arial" w:eastAsia="Arial" w:hAnsi="Arial" w:cs="Arial"/>
          <w:iCs/>
          <w:sz w:val="22"/>
          <w:szCs w:val="22"/>
          <w:lang w:val="en-CA"/>
        </w:rPr>
        <w:t xml:space="preserve">’s behavior limiting communications to consumers is unlawful”. </w:t>
      </w:r>
      <w:r w:rsidR="00FE2416" w:rsidRPr="00F04C53">
        <w:rPr>
          <w:rFonts w:ascii="Arial" w:eastAsia="Arial" w:hAnsi="Arial" w:cs="Arial"/>
          <w:iCs/>
          <w:sz w:val="22"/>
          <w:szCs w:val="22"/>
          <w:lang w:val="en-CA"/>
        </w:rPr>
        <w:t xml:space="preserve">As </w:t>
      </w:r>
      <w:hyperlink r:id="rId15" w:history="1">
        <w:r w:rsidR="00FE2416" w:rsidRPr="00F04C53">
          <w:rPr>
            <w:rStyle w:val="Hyperlink"/>
            <w:rFonts w:ascii="Arial" w:eastAsia="Arial" w:hAnsi="Arial" w:cs="Arial"/>
            <w:iCs/>
            <w:sz w:val="22"/>
            <w:szCs w:val="22"/>
            <w:lang w:val="en-CA"/>
          </w:rPr>
          <w:t>Reuters</w:t>
        </w:r>
      </w:hyperlink>
      <w:r w:rsidR="00FE2416" w:rsidRPr="00F04C53">
        <w:rPr>
          <w:rFonts w:ascii="Arial" w:eastAsia="Arial" w:hAnsi="Arial" w:cs="Arial"/>
          <w:iCs/>
          <w:sz w:val="22"/>
          <w:szCs w:val="22"/>
          <w:lang w:val="en-CA"/>
        </w:rPr>
        <w:t xml:space="preserve"> pointed out</w:t>
      </w:r>
      <w:r w:rsidR="00CE578C">
        <w:rPr>
          <w:rFonts w:ascii="Arial" w:eastAsia="Arial" w:hAnsi="Arial" w:cs="Arial"/>
          <w:iCs/>
          <w:sz w:val="22"/>
          <w:szCs w:val="22"/>
          <w:lang w:val="en-CA"/>
        </w:rPr>
        <w:t>,</w:t>
      </w:r>
      <w:r w:rsidR="00FE2416" w:rsidRPr="00F04C53">
        <w:rPr>
          <w:rFonts w:ascii="Arial" w:eastAsia="Arial" w:hAnsi="Arial" w:cs="Arial"/>
          <w:iCs/>
          <w:sz w:val="22"/>
          <w:szCs w:val="22"/>
          <w:lang w:val="en-CA"/>
        </w:rPr>
        <w:t xml:space="preserve"> a ruling at the Luxembourg-based General Court</w:t>
      </w:r>
      <w:r w:rsidRPr="00F04C53">
        <w:rPr>
          <w:rFonts w:ascii="Arial" w:eastAsia="Arial" w:hAnsi="Arial" w:cs="Arial"/>
          <w:iCs/>
          <w:sz w:val="22"/>
          <w:szCs w:val="22"/>
          <w:lang w:val="en-CA"/>
        </w:rPr>
        <w:t xml:space="preserve"> is likely to take several years. Until then, Apple will have to pay the fine and comply with the EU order. </w:t>
      </w:r>
    </w:p>
    <w:p w14:paraId="39B377C8" w14:textId="0BC4689C" w:rsidR="00E8275D" w:rsidRPr="00F04C53" w:rsidRDefault="00D66C5C" w:rsidP="00AB3180">
      <w:pPr>
        <w:spacing w:before="288" w:after="288" w:line="276" w:lineRule="auto"/>
        <w:ind w:left="426" w:right="714"/>
        <w:jc w:val="both"/>
        <w:rPr>
          <w:rFonts w:ascii="Arial" w:eastAsia="Arial" w:hAnsi="Arial" w:cs="Arial"/>
          <w:i/>
          <w:iCs/>
          <w:sz w:val="22"/>
          <w:szCs w:val="22"/>
          <w:lang w:val="en-CA"/>
        </w:rPr>
      </w:pPr>
      <w:r w:rsidRPr="00F04C53">
        <w:rPr>
          <w:rFonts w:ascii="Arial" w:eastAsia="Arial" w:hAnsi="Arial" w:cs="Arial"/>
          <w:i/>
          <w:iCs/>
          <w:sz w:val="22"/>
          <w:szCs w:val="22"/>
          <w:lang w:val="en-CA"/>
        </w:rPr>
        <w:t>Two new reports from the European Audiovisual Observatory</w:t>
      </w:r>
    </w:p>
    <w:p w14:paraId="210FEF2C" w14:textId="47581C28" w:rsidR="00D66C5C" w:rsidRPr="00F04C53" w:rsidRDefault="00D66C5C" w:rsidP="00AB3180">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sz w:val="22"/>
          <w:szCs w:val="22"/>
          <w:lang w:val="en-CA"/>
        </w:rPr>
        <w:t>Two new reports “</w:t>
      </w:r>
      <w:hyperlink r:id="rId16" w:history="1">
        <w:r w:rsidRPr="00F04C53">
          <w:rPr>
            <w:rStyle w:val="Hyperlink"/>
            <w:rFonts w:ascii="Arial" w:eastAsia="Arial" w:hAnsi="Arial" w:cs="Arial"/>
            <w:sz w:val="22"/>
            <w:szCs w:val="22"/>
            <w:lang w:val="en-CA"/>
          </w:rPr>
          <w:t>SVOD Usage in the European Union</w:t>
        </w:r>
      </w:hyperlink>
      <w:r w:rsidRPr="00F04C53">
        <w:rPr>
          <w:rFonts w:ascii="Arial" w:eastAsia="Arial" w:hAnsi="Arial" w:cs="Arial"/>
          <w:sz w:val="22"/>
          <w:szCs w:val="22"/>
          <w:lang w:val="en-CA"/>
        </w:rPr>
        <w:t>” and “</w:t>
      </w:r>
      <w:hyperlink r:id="rId17" w:history="1">
        <w:r w:rsidRPr="00F04C53">
          <w:rPr>
            <w:rStyle w:val="Hyperlink"/>
            <w:rFonts w:ascii="Arial" w:eastAsia="Arial" w:hAnsi="Arial" w:cs="Arial"/>
            <w:sz w:val="22"/>
            <w:szCs w:val="22"/>
            <w:lang w:val="en-CA"/>
          </w:rPr>
          <w:t>Film and TV Content in TVOD, SVOD and FOD catalogues – 2023 Edition</w:t>
        </w:r>
      </w:hyperlink>
      <w:r w:rsidRPr="00F04C53">
        <w:rPr>
          <w:rFonts w:ascii="Arial" w:eastAsia="Arial" w:hAnsi="Arial" w:cs="Arial"/>
          <w:sz w:val="22"/>
          <w:szCs w:val="22"/>
          <w:lang w:val="en-CA"/>
        </w:rPr>
        <w:t>” have just been published by the</w:t>
      </w:r>
      <w:r w:rsidR="00015E57">
        <w:rPr>
          <w:rFonts w:ascii="Arial" w:eastAsia="Arial" w:hAnsi="Arial" w:cs="Arial"/>
          <w:sz w:val="22"/>
          <w:szCs w:val="22"/>
          <w:lang w:val="en-CA"/>
        </w:rPr>
        <w:t xml:space="preserve"> </w:t>
      </w:r>
      <w:hyperlink r:id="rId18" w:history="1">
        <w:r w:rsidR="00015E57" w:rsidRPr="00015E57">
          <w:rPr>
            <w:rStyle w:val="Hyperlink"/>
            <w:rFonts w:ascii="Arial" w:eastAsia="Arial" w:hAnsi="Arial" w:cs="Arial"/>
            <w:sz w:val="22"/>
            <w:szCs w:val="22"/>
            <w:lang w:val="en-CA"/>
          </w:rPr>
          <w:t>European Audiovisual Observatory</w:t>
        </w:r>
      </w:hyperlink>
      <w:r w:rsidRPr="00F04C53">
        <w:rPr>
          <w:rFonts w:ascii="Arial" w:eastAsia="Arial" w:hAnsi="Arial" w:cs="Arial"/>
          <w:sz w:val="22"/>
          <w:szCs w:val="22"/>
          <w:lang w:val="en-CA"/>
        </w:rPr>
        <w:t>.</w:t>
      </w:r>
      <w:r w:rsidR="00A3013C" w:rsidRPr="00F04C53">
        <w:rPr>
          <w:rFonts w:ascii="Arial" w:eastAsia="Arial" w:hAnsi="Arial" w:cs="Arial"/>
          <w:sz w:val="22"/>
          <w:szCs w:val="22"/>
          <w:lang w:val="en-CA"/>
        </w:rPr>
        <w:t xml:space="preserve"> The reports provide an analysis of the consumption of films and TV seasons on Subscription </w:t>
      </w:r>
      <w:r w:rsidR="007237E9">
        <w:rPr>
          <w:rFonts w:ascii="Arial" w:eastAsia="Arial" w:hAnsi="Arial" w:cs="Arial"/>
          <w:sz w:val="22"/>
          <w:szCs w:val="22"/>
          <w:lang w:val="en-CA"/>
        </w:rPr>
        <w:t>Video-on-Demand (</w:t>
      </w:r>
      <w:r w:rsidR="00A3013C" w:rsidRPr="00F04C53">
        <w:rPr>
          <w:rFonts w:ascii="Arial" w:eastAsia="Arial" w:hAnsi="Arial" w:cs="Arial"/>
          <w:sz w:val="22"/>
          <w:szCs w:val="22"/>
          <w:lang w:val="en-CA"/>
        </w:rPr>
        <w:t>VOD</w:t>
      </w:r>
      <w:r w:rsidR="007237E9">
        <w:rPr>
          <w:rFonts w:ascii="Arial" w:eastAsia="Arial" w:hAnsi="Arial" w:cs="Arial"/>
          <w:sz w:val="22"/>
          <w:szCs w:val="22"/>
          <w:lang w:val="en-CA"/>
        </w:rPr>
        <w:t>)</w:t>
      </w:r>
      <w:r w:rsidR="00A3013C" w:rsidRPr="00F04C53">
        <w:rPr>
          <w:rFonts w:ascii="Arial" w:eastAsia="Arial" w:hAnsi="Arial" w:cs="Arial"/>
          <w:sz w:val="22"/>
          <w:szCs w:val="22"/>
          <w:lang w:val="en-CA"/>
        </w:rPr>
        <w:t xml:space="preserve"> in </w:t>
      </w:r>
      <w:r w:rsidR="00F31A65">
        <w:rPr>
          <w:rFonts w:ascii="Arial" w:eastAsia="Arial" w:hAnsi="Arial" w:cs="Arial"/>
          <w:sz w:val="22"/>
          <w:szCs w:val="22"/>
          <w:lang w:val="en-CA"/>
        </w:rPr>
        <w:t>nine</w:t>
      </w:r>
      <w:r w:rsidR="00A3013C" w:rsidRPr="00F04C53">
        <w:rPr>
          <w:rFonts w:ascii="Arial" w:eastAsia="Arial" w:hAnsi="Arial" w:cs="Arial"/>
          <w:sz w:val="22"/>
          <w:szCs w:val="22"/>
          <w:lang w:val="en-CA"/>
        </w:rPr>
        <w:t xml:space="preserve"> member states</w:t>
      </w:r>
      <w:r w:rsidR="0022070B">
        <w:rPr>
          <w:rFonts w:ascii="Arial" w:eastAsia="Arial" w:hAnsi="Arial" w:cs="Arial"/>
          <w:sz w:val="22"/>
          <w:szCs w:val="22"/>
          <w:lang w:val="en-CA"/>
        </w:rPr>
        <w:t xml:space="preserve"> (</w:t>
      </w:r>
      <w:r w:rsidR="00A3013C" w:rsidRPr="00F04C53">
        <w:rPr>
          <w:rFonts w:ascii="Arial" w:hAnsi="Arial" w:cs="Arial"/>
          <w:sz w:val="22"/>
          <w:szCs w:val="22"/>
          <w:shd w:val="clear" w:color="auto" w:fill="FFFFFF"/>
          <w:lang w:val="en-CA"/>
        </w:rPr>
        <w:t xml:space="preserve">Denmark, Finland, France, Germany, Italy, Netherlands, Poland, Spain, and Sweden) </w:t>
      </w:r>
      <w:r w:rsidR="00A3013C" w:rsidRPr="00F04C53">
        <w:rPr>
          <w:rFonts w:ascii="Arial" w:eastAsia="Arial" w:hAnsi="Arial" w:cs="Arial"/>
          <w:sz w:val="22"/>
          <w:szCs w:val="22"/>
          <w:lang w:val="en-CA"/>
        </w:rPr>
        <w:t xml:space="preserve">of the EU from September 2022 to September 2023 and an analysis of the offer of films and TV seasons in VOD catalogues of 25 member states of the EU in September 2023. </w:t>
      </w:r>
    </w:p>
    <w:p w14:paraId="0EA107D8" w14:textId="4880DE25" w:rsidR="00770B38" w:rsidRDefault="00A3013C" w:rsidP="00770B38">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sz w:val="22"/>
          <w:szCs w:val="22"/>
          <w:lang w:val="en-CA"/>
        </w:rPr>
        <w:t>The first report stated that “concentration is the main characteristic of VOD usage” in Europe with 85% of viewing time generated by only three services (Netflix, Prime Video and Disney Plus). In addition, “viewing time is also mainly generated by recent films (produced in 2022-2023): they represented 25% of viewing time but only 1% of catalogues</w:t>
      </w:r>
      <w:r w:rsidR="00F227FD" w:rsidRPr="00F04C53">
        <w:rPr>
          <w:rFonts w:ascii="Arial" w:eastAsia="Arial" w:hAnsi="Arial" w:cs="Arial"/>
          <w:sz w:val="22"/>
          <w:szCs w:val="22"/>
          <w:lang w:val="en-CA"/>
        </w:rPr>
        <w:t>”</w:t>
      </w:r>
      <w:r w:rsidRPr="00F04C53">
        <w:rPr>
          <w:rFonts w:ascii="Arial" w:eastAsia="Arial" w:hAnsi="Arial" w:cs="Arial"/>
          <w:sz w:val="22"/>
          <w:szCs w:val="22"/>
          <w:lang w:val="en-CA"/>
        </w:rPr>
        <w:t>. Interestingly, US works are systematically overconsumed</w:t>
      </w:r>
      <w:r w:rsidR="00F227FD" w:rsidRPr="00F04C53">
        <w:rPr>
          <w:rFonts w:ascii="Arial" w:eastAsia="Arial" w:hAnsi="Arial" w:cs="Arial"/>
          <w:sz w:val="22"/>
          <w:szCs w:val="22"/>
          <w:lang w:val="en-CA"/>
        </w:rPr>
        <w:t xml:space="preserve"> (61.2% of the total view</w:t>
      </w:r>
      <w:r w:rsidR="00770B38">
        <w:rPr>
          <w:rFonts w:ascii="Arial" w:eastAsia="Arial" w:hAnsi="Arial" w:cs="Arial"/>
          <w:sz w:val="22"/>
          <w:szCs w:val="22"/>
          <w:lang w:val="en-CA"/>
        </w:rPr>
        <w:t xml:space="preserve">ing </w:t>
      </w:r>
      <w:r w:rsidR="00F227FD" w:rsidRPr="00F04C53">
        <w:rPr>
          <w:rFonts w:ascii="Arial" w:eastAsia="Arial" w:hAnsi="Arial" w:cs="Arial"/>
          <w:sz w:val="22"/>
          <w:szCs w:val="22"/>
          <w:lang w:val="en-CA"/>
        </w:rPr>
        <w:t>time including films and TV seasons)</w:t>
      </w:r>
      <w:r w:rsidRPr="00F04C53">
        <w:rPr>
          <w:rFonts w:ascii="Arial" w:eastAsia="Arial" w:hAnsi="Arial" w:cs="Arial"/>
          <w:sz w:val="22"/>
          <w:szCs w:val="22"/>
          <w:lang w:val="en-CA"/>
        </w:rPr>
        <w:t>, whereas European works accounted for 30</w:t>
      </w:r>
      <w:r w:rsidR="00F227FD" w:rsidRPr="00F04C53">
        <w:rPr>
          <w:rFonts w:ascii="Arial" w:eastAsia="Arial" w:hAnsi="Arial" w:cs="Arial"/>
          <w:sz w:val="22"/>
          <w:szCs w:val="22"/>
          <w:lang w:val="en-CA"/>
        </w:rPr>
        <w:t>.3</w:t>
      </w:r>
      <w:r w:rsidRPr="00F04C53">
        <w:rPr>
          <w:rFonts w:ascii="Arial" w:eastAsia="Arial" w:hAnsi="Arial" w:cs="Arial"/>
          <w:sz w:val="22"/>
          <w:szCs w:val="22"/>
          <w:lang w:val="en-CA"/>
        </w:rPr>
        <w:t>% of S</w:t>
      </w:r>
      <w:r w:rsidR="007237E9">
        <w:rPr>
          <w:rFonts w:ascii="Arial" w:eastAsia="Arial" w:hAnsi="Arial" w:cs="Arial"/>
          <w:sz w:val="22"/>
          <w:szCs w:val="22"/>
          <w:lang w:val="en-CA"/>
        </w:rPr>
        <w:t xml:space="preserve">ubscription </w:t>
      </w:r>
      <w:r w:rsidRPr="00F04C53">
        <w:rPr>
          <w:rFonts w:ascii="Arial" w:eastAsia="Arial" w:hAnsi="Arial" w:cs="Arial"/>
          <w:sz w:val="22"/>
          <w:szCs w:val="22"/>
          <w:lang w:val="en-CA"/>
        </w:rPr>
        <w:t>VOD</w:t>
      </w:r>
      <w:r w:rsidR="007237E9">
        <w:rPr>
          <w:rFonts w:ascii="Arial" w:eastAsia="Arial" w:hAnsi="Arial" w:cs="Arial"/>
          <w:sz w:val="22"/>
          <w:szCs w:val="22"/>
          <w:lang w:val="en-CA"/>
        </w:rPr>
        <w:t xml:space="preserve"> (SVOD)</w:t>
      </w:r>
      <w:r w:rsidRPr="00F04C53">
        <w:rPr>
          <w:rFonts w:ascii="Arial" w:eastAsia="Arial" w:hAnsi="Arial" w:cs="Arial"/>
          <w:sz w:val="22"/>
          <w:szCs w:val="22"/>
          <w:lang w:val="en-CA"/>
        </w:rPr>
        <w:t xml:space="preserve"> viewing time, including 21% for EU works</w:t>
      </w:r>
      <w:r w:rsidR="00F227FD" w:rsidRPr="00F04C53">
        <w:rPr>
          <w:rFonts w:ascii="Arial" w:eastAsia="Arial" w:hAnsi="Arial" w:cs="Arial"/>
          <w:sz w:val="22"/>
          <w:szCs w:val="22"/>
          <w:lang w:val="en-CA"/>
        </w:rPr>
        <w:t>,</w:t>
      </w:r>
      <w:r w:rsidRPr="00F04C53">
        <w:rPr>
          <w:rFonts w:ascii="Arial" w:eastAsia="Arial" w:hAnsi="Arial" w:cs="Arial"/>
          <w:sz w:val="22"/>
          <w:szCs w:val="22"/>
          <w:lang w:val="en-CA"/>
        </w:rPr>
        <w:t xml:space="preserve"> </w:t>
      </w:r>
      <w:r w:rsidR="00F227FD" w:rsidRPr="00F04C53">
        <w:rPr>
          <w:rFonts w:ascii="Arial" w:eastAsia="Arial" w:hAnsi="Arial" w:cs="Arial"/>
          <w:sz w:val="22"/>
          <w:szCs w:val="22"/>
          <w:lang w:val="en-CA"/>
        </w:rPr>
        <w:t>8.6</w:t>
      </w:r>
      <w:r w:rsidRPr="00F04C53">
        <w:rPr>
          <w:rFonts w:ascii="Arial" w:eastAsia="Arial" w:hAnsi="Arial" w:cs="Arial"/>
          <w:sz w:val="22"/>
          <w:szCs w:val="22"/>
          <w:lang w:val="en-CA"/>
        </w:rPr>
        <w:t xml:space="preserve">% </w:t>
      </w:r>
      <w:r w:rsidR="00F227FD" w:rsidRPr="00F04C53">
        <w:rPr>
          <w:rFonts w:ascii="Arial" w:eastAsia="Arial" w:hAnsi="Arial" w:cs="Arial"/>
          <w:sz w:val="22"/>
          <w:szCs w:val="22"/>
          <w:lang w:val="en-CA"/>
        </w:rPr>
        <w:t xml:space="preserve">for </w:t>
      </w:r>
      <w:r w:rsidR="00E03EDD">
        <w:rPr>
          <w:rFonts w:ascii="Arial" w:eastAsia="Arial" w:hAnsi="Arial" w:cs="Arial"/>
          <w:sz w:val="22"/>
          <w:szCs w:val="22"/>
          <w:lang w:val="en-CA"/>
        </w:rPr>
        <w:t xml:space="preserve">the </w:t>
      </w:r>
      <w:r w:rsidRPr="00F04C53">
        <w:rPr>
          <w:rFonts w:ascii="Arial" w:eastAsia="Arial" w:hAnsi="Arial" w:cs="Arial"/>
          <w:sz w:val="22"/>
          <w:szCs w:val="22"/>
          <w:lang w:val="en-CA"/>
        </w:rPr>
        <w:t xml:space="preserve">United Kingdom and 1% for other European works. </w:t>
      </w:r>
      <w:r w:rsidR="00F227FD" w:rsidRPr="00F04C53">
        <w:rPr>
          <w:rFonts w:ascii="Arial" w:eastAsia="Arial" w:hAnsi="Arial" w:cs="Arial"/>
          <w:sz w:val="22"/>
          <w:szCs w:val="22"/>
          <w:lang w:val="en-CA"/>
        </w:rPr>
        <w:t>In addition</w:t>
      </w:r>
      <w:r w:rsidRPr="00F04C53">
        <w:rPr>
          <w:rFonts w:ascii="Arial" w:eastAsia="Arial" w:hAnsi="Arial" w:cs="Arial"/>
          <w:sz w:val="22"/>
          <w:szCs w:val="22"/>
          <w:lang w:val="en-CA"/>
        </w:rPr>
        <w:t>, according to the report, among European works, national works are overconsumed</w:t>
      </w:r>
      <w:r w:rsidR="00F227FD" w:rsidRPr="00F04C53">
        <w:rPr>
          <w:rFonts w:ascii="Arial" w:eastAsia="Arial" w:hAnsi="Arial" w:cs="Arial"/>
          <w:sz w:val="22"/>
          <w:szCs w:val="22"/>
          <w:lang w:val="en-CA"/>
        </w:rPr>
        <w:t xml:space="preserve"> (12.2% of the view</w:t>
      </w:r>
      <w:r w:rsidR="00770B38">
        <w:rPr>
          <w:rFonts w:ascii="Arial" w:eastAsia="Arial" w:hAnsi="Arial" w:cs="Arial"/>
          <w:sz w:val="22"/>
          <w:szCs w:val="22"/>
          <w:lang w:val="en-CA"/>
        </w:rPr>
        <w:t xml:space="preserve">ing </w:t>
      </w:r>
      <w:r w:rsidR="00F227FD" w:rsidRPr="00F04C53">
        <w:rPr>
          <w:rFonts w:ascii="Arial" w:eastAsia="Arial" w:hAnsi="Arial" w:cs="Arial"/>
          <w:sz w:val="22"/>
          <w:szCs w:val="22"/>
          <w:lang w:val="en-CA"/>
        </w:rPr>
        <w:t>time)</w:t>
      </w:r>
      <w:r w:rsidRPr="00F04C53">
        <w:rPr>
          <w:rFonts w:ascii="Arial" w:eastAsia="Arial" w:hAnsi="Arial" w:cs="Arial"/>
          <w:sz w:val="22"/>
          <w:szCs w:val="22"/>
          <w:lang w:val="en-CA"/>
        </w:rPr>
        <w:t>, whereas EU non-national works are underconsumed in all countries</w:t>
      </w:r>
      <w:r w:rsidR="00F227FD" w:rsidRPr="00F04C53">
        <w:rPr>
          <w:rFonts w:ascii="Arial" w:eastAsia="Arial" w:hAnsi="Arial" w:cs="Arial"/>
          <w:sz w:val="22"/>
          <w:szCs w:val="22"/>
          <w:lang w:val="en-CA"/>
        </w:rPr>
        <w:t xml:space="preserve"> (8.4% of the view</w:t>
      </w:r>
      <w:r w:rsidR="00770B38">
        <w:rPr>
          <w:rFonts w:ascii="Arial" w:eastAsia="Arial" w:hAnsi="Arial" w:cs="Arial"/>
          <w:sz w:val="22"/>
          <w:szCs w:val="22"/>
          <w:lang w:val="en-CA"/>
        </w:rPr>
        <w:t xml:space="preserve">ing </w:t>
      </w:r>
      <w:r w:rsidR="00F227FD" w:rsidRPr="00F04C53">
        <w:rPr>
          <w:rFonts w:ascii="Arial" w:eastAsia="Arial" w:hAnsi="Arial" w:cs="Arial"/>
          <w:sz w:val="22"/>
          <w:szCs w:val="22"/>
          <w:lang w:val="en-CA"/>
        </w:rPr>
        <w:t>time)</w:t>
      </w:r>
      <w:r w:rsidRPr="00F04C53">
        <w:rPr>
          <w:rFonts w:ascii="Arial" w:eastAsia="Arial" w:hAnsi="Arial" w:cs="Arial"/>
          <w:sz w:val="22"/>
          <w:szCs w:val="22"/>
          <w:lang w:val="en-CA"/>
        </w:rPr>
        <w:t>.</w:t>
      </w:r>
      <w:r w:rsidR="00F227FD" w:rsidRPr="00F04C53">
        <w:rPr>
          <w:rFonts w:ascii="Arial" w:eastAsia="Arial" w:hAnsi="Arial" w:cs="Arial"/>
          <w:sz w:val="22"/>
          <w:szCs w:val="22"/>
          <w:lang w:val="en-CA"/>
        </w:rPr>
        <w:t xml:space="preserve"> </w:t>
      </w:r>
    </w:p>
    <w:p w14:paraId="7DE6482F" w14:textId="75AEE9CC" w:rsidR="003C321F" w:rsidRPr="00F04C53" w:rsidRDefault="00F227FD" w:rsidP="00770B38">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sz w:val="22"/>
          <w:szCs w:val="22"/>
          <w:lang w:val="en-CA"/>
        </w:rPr>
        <w:t xml:space="preserve">Finally, the report mentioned the modest weight of consumption of works from other regions of the world – only 8.3%, well under their share of catalogues. </w:t>
      </w:r>
      <w:r w:rsidR="003C321F" w:rsidRPr="00F04C53">
        <w:rPr>
          <w:rFonts w:ascii="Arial" w:eastAsia="Arial" w:hAnsi="Arial" w:cs="Arial"/>
          <w:sz w:val="22"/>
          <w:szCs w:val="22"/>
          <w:lang w:val="en-CA"/>
        </w:rPr>
        <w:t>The second report stressed that European works (film and content) accounted for 31% of all works in VOD catalogues in 25 member states of the EU, with works from EU27 representing 21% and other European works 10%.</w:t>
      </w:r>
    </w:p>
    <w:p w14:paraId="02573AE9" w14:textId="77777777" w:rsidR="00AC44BA" w:rsidRPr="00F04C53" w:rsidRDefault="00AC44BA" w:rsidP="00AC44BA">
      <w:pPr>
        <w:spacing w:before="288" w:after="288" w:line="276" w:lineRule="auto"/>
        <w:ind w:left="426" w:right="714"/>
        <w:jc w:val="both"/>
        <w:rPr>
          <w:rFonts w:ascii="Arial" w:eastAsia="Arial" w:hAnsi="Arial" w:cs="Arial"/>
          <w:i/>
          <w:sz w:val="22"/>
          <w:szCs w:val="22"/>
          <w:lang w:val="en-CA"/>
        </w:rPr>
      </w:pPr>
      <w:r w:rsidRPr="00F04C53">
        <w:rPr>
          <w:rFonts w:ascii="Arial" w:eastAsia="Arial" w:hAnsi="Arial" w:cs="Arial"/>
          <w:i/>
          <w:sz w:val="22"/>
          <w:szCs w:val="22"/>
          <w:lang w:val="en-CA"/>
        </w:rPr>
        <w:t>Statements on digital technologies and culture</w:t>
      </w:r>
    </w:p>
    <w:p w14:paraId="11EB62F1" w14:textId="37DD9105" w:rsidR="00770B38" w:rsidRDefault="00AC44BA" w:rsidP="00AC44BA">
      <w:pPr>
        <w:spacing w:before="288" w:after="288" w:line="276" w:lineRule="auto"/>
        <w:ind w:left="426" w:right="714"/>
        <w:jc w:val="both"/>
        <w:rPr>
          <w:rFonts w:ascii="Arial" w:hAnsi="Arial" w:cs="Arial"/>
          <w:sz w:val="22"/>
          <w:szCs w:val="22"/>
          <w:lang w:val="en-CA"/>
        </w:rPr>
      </w:pPr>
      <w:r w:rsidRPr="00F04C53">
        <w:rPr>
          <w:rFonts w:ascii="Arial" w:hAnsi="Arial" w:cs="Arial"/>
          <w:sz w:val="22"/>
          <w:szCs w:val="22"/>
          <w:shd w:val="clear" w:color="auto" w:fill="FFFFFF"/>
          <w:lang w:val="en-CA"/>
        </w:rPr>
        <w:lastRenderedPageBreak/>
        <w:t xml:space="preserve">The </w:t>
      </w:r>
      <w:hyperlink r:id="rId19" w:history="1">
        <w:r w:rsidRPr="00F04C53">
          <w:rPr>
            <w:rStyle w:val="Hyperlink"/>
            <w:rFonts w:ascii="Arial" w:hAnsi="Arial" w:cs="Arial"/>
            <w:sz w:val="22"/>
            <w:szCs w:val="22"/>
            <w:shd w:val="clear" w:color="auto" w:fill="FFFFFF"/>
            <w:lang w:val="en-CA"/>
          </w:rPr>
          <w:t>EU AI Act</w:t>
        </w:r>
      </w:hyperlink>
      <w:r w:rsidRPr="00F04C53">
        <w:rPr>
          <w:rFonts w:ascii="Arial" w:hAnsi="Arial" w:cs="Arial"/>
          <w:sz w:val="22"/>
          <w:szCs w:val="22"/>
          <w:shd w:val="clear" w:color="auto" w:fill="FFFFFF"/>
          <w:lang w:val="en-CA"/>
        </w:rPr>
        <w:t xml:space="preserve"> is the world</w:t>
      </w:r>
      <w:r w:rsidR="00A616F9">
        <w:rPr>
          <w:rFonts w:ascii="Arial" w:hAnsi="Arial" w:cs="Arial"/>
          <w:sz w:val="22"/>
          <w:szCs w:val="22"/>
          <w:shd w:val="clear" w:color="auto" w:fill="FFFFFF"/>
          <w:lang w:val="en-CA"/>
        </w:rPr>
        <w:t xml:space="preserve">’s </w:t>
      </w:r>
      <w:r w:rsidRPr="00F04C53">
        <w:rPr>
          <w:rFonts w:ascii="Arial" w:hAnsi="Arial" w:cs="Arial"/>
          <w:sz w:val="22"/>
          <w:szCs w:val="22"/>
          <w:shd w:val="clear" w:color="auto" w:fill="FFFFFF"/>
          <w:lang w:val="en-CA"/>
        </w:rPr>
        <w:t xml:space="preserve">first </w:t>
      </w:r>
      <w:r w:rsidR="00770B38">
        <w:rPr>
          <w:rFonts w:ascii="Arial" w:hAnsi="Arial" w:cs="Arial"/>
          <w:sz w:val="22"/>
          <w:szCs w:val="22"/>
          <w:shd w:val="clear" w:color="auto" w:fill="FFFFFF"/>
          <w:lang w:val="en-CA"/>
        </w:rPr>
        <w:t xml:space="preserve">legislative </w:t>
      </w:r>
      <w:r w:rsidRPr="00F04C53">
        <w:rPr>
          <w:rFonts w:ascii="Arial" w:hAnsi="Arial" w:cs="Arial"/>
          <w:sz w:val="22"/>
          <w:szCs w:val="22"/>
          <w:shd w:val="clear" w:color="auto" w:fill="FFFFFF"/>
          <w:lang w:val="en-CA"/>
        </w:rPr>
        <w:t xml:space="preserve">body of </w:t>
      </w:r>
      <w:r w:rsidR="00770B38">
        <w:rPr>
          <w:rFonts w:ascii="Arial" w:hAnsi="Arial" w:cs="Arial"/>
          <w:sz w:val="22"/>
          <w:szCs w:val="22"/>
          <w:shd w:val="clear" w:color="auto" w:fill="FFFFFF"/>
          <w:lang w:val="en-CA"/>
        </w:rPr>
        <w:t>provisions</w:t>
      </w:r>
      <w:r w:rsidRPr="00F04C53">
        <w:rPr>
          <w:rFonts w:ascii="Arial" w:hAnsi="Arial" w:cs="Arial"/>
          <w:sz w:val="22"/>
          <w:szCs w:val="22"/>
          <w:shd w:val="clear" w:color="auto" w:fill="FFFFFF"/>
          <w:lang w:val="en-CA"/>
        </w:rPr>
        <w:t xml:space="preserve"> that regulate</w:t>
      </w:r>
      <w:r w:rsidR="00F969E4">
        <w:rPr>
          <w:rFonts w:ascii="Arial" w:hAnsi="Arial" w:cs="Arial"/>
          <w:sz w:val="22"/>
          <w:szCs w:val="22"/>
          <w:shd w:val="clear" w:color="auto" w:fill="FFFFFF"/>
          <w:lang w:val="en-CA"/>
        </w:rPr>
        <w:t>s</w:t>
      </w:r>
      <w:r w:rsidRPr="00F04C53">
        <w:rPr>
          <w:rFonts w:ascii="Arial" w:hAnsi="Arial" w:cs="Arial"/>
          <w:sz w:val="22"/>
          <w:szCs w:val="22"/>
          <w:shd w:val="clear" w:color="auto" w:fill="FFFFFF"/>
          <w:lang w:val="en-CA"/>
        </w:rPr>
        <w:t xml:space="preserve"> the development and use of AI, and sets </w:t>
      </w:r>
      <w:r w:rsidR="00656782" w:rsidRPr="00F04C53">
        <w:rPr>
          <w:rFonts w:ascii="Arial" w:hAnsi="Arial" w:cs="Arial"/>
          <w:sz w:val="22"/>
          <w:szCs w:val="22"/>
          <w:shd w:val="clear" w:color="auto" w:fill="FFFFFF"/>
          <w:lang w:val="en-CA"/>
        </w:rPr>
        <w:t>standards</w:t>
      </w:r>
      <w:r w:rsidRPr="00F04C53">
        <w:rPr>
          <w:rFonts w:ascii="Arial" w:hAnsi="Arial" w:cs="Arial"/>
          <w:sz w:val="22"/>
          <w:szCs w:val="22"/>
          <w:shd w:val="clear" w:color="auto" w:fill="FFFFFF"/>
          <w:lang w:val="en-CA"/>
        </w:rPr>
        <w:t xml:space="preserve"> for responsible</w:t>
      </w:r>
      <w:r w:rsidR="00656782" w:rsidRPr="00F04C53">
        <w:rPr>
          <w:rFonts w:ascii="Arial" w:hAnsi="Arial" w:cs="Arial"/>
          <w:sz w:val="22"/>
          <w:szCs w:val="22"/>
          <w:shd w:val="clear" w:color="auto" w:fill="FFFFFF"/>
          <w:lang w:val="en-CA"/>
        </w:rPr>
        <w:t xml:space="preserve"> and sustainable</w:t>
      </w:r>
      <w:r w:rsidRPr="00F04C53">
        <w:rPr>
          <w:rFonts w:ascii="Arial" w:hAnsi="Arial" w:cs="Arial"/>
          <w:sz w:val="22"/>
          <w:szCs w:val="22"/>
          <w:shd w:val="clear" w:color="auto" w:fill="FFFFFF"/>
          <w:lang w:val="en-CA"/>
        </w:rPr>
        <w:t xml:space="preserve"> governance. In a</w:t>
      </w:r>
      <w:hyperlink r:id="rId20" w:history="1">
        <w:r w:rsidRPr="00F04C53">
          <w:rPr>
            <w:rStyle w:val="Hyperlink"/>
            <w:rFonts w:ascii="Arial" w:hAnsi="Arial" w:cs="Arial"/>
            <w:sz w:val="22"/>
            <w:szCs w:val="22"/>
            <w:shd w:val="clear" w:color="auto" w:fill="FFFFFF"/>
            <w:lang w:val="en-CA"/>
          </w:rPr>
          <w:t xml:space="preserve"> joint statement</w:t>
        </w:r>
      </w:hyperlink>
      <w:r w:rsidRPr="00F04C53">
        <w:rPr>
          <w:rFonts w:ascii="Arial" w:hAnsi="Arial" w:cs="Arial"/>
          <w:sz w:val="22"/>
          <w:szCs w:val="22"/>
          <w:shd w:val="clear" w:color="auto" w:fill="FFFFFF"/>
          <w:lang w:val="en-CA"/>
        </w:rPr>
        <w:t xml:space="preserve"> published on 13 March, a high number of organizations active in the cultural and creative industries welcomed the approval of the act. </w:t>
      </w:r>
      <w:r w:rsidRPr="00F04C53">
        <w:rPr>
          <w:rFonts w:ascii="Arial" w:hAnsi="Arial" w:cs="Arial"/>
          <w:sz w:val="22"/>
          <w:szCs w:val="22"/>
          <w:lang w:val="en-CA"/>
        </w:rPr>
        <w:t xml:space="preserve">The signatories argued that </w:t>
      </w:r>
      <w:r w:rsidR="00F27560">
        <w:rPr>
          <w:rFonts w:ascii="Arial" w:hAnsi="Arial" w:cs="Arial"/>
          <w:sz w:val="22"/>
          <w:szCs w:val="22"/>
          <w:lang w:val="en-CA"/>
        </w:rPr>
        <w:t xml:space="preserve">it </w:t>
      </w:r>
      <w:r w:rsidRPr="00F04C53">
        <w:rPr>
          <w:rFonts w:ascii="Arial" w:hAnsi="Arial" w:cs="Arial"/>
          <w:sz w:val="22"/>
          <w:szCs w:val="22"/>
          <w:lang w:val="en-CA"/>
        </w:rPr>
        <w:t>offers the “first tool for rightsholders to enforce their rights, including the obligations on providers of general-purpose AI (GPAI) to make available a sufficiently detailed summary of the works used for training their models, to retain detailed technical documentation and to demonstrate they have put in place policies to comply with EU copyright law, regardless of where they acquired data, or trained and developed their AI models</w:t>
      </w:r>
      <w:r w:rsidR="00656782" w:rsidRPr="00F04C53">
        <w:rPr>
          <w:rFonts w:ascii="Arial" w:hAnsi="Arial" w:cs="Arial"/>
          <w:sz w:val="22"/>
          <w:szCs w:val="22"/>
          <w:lang w:val="en-CA"/>
        </w:rPr>
        <w:t>”</w:t>
      </w:r>
      <w:r w:rsidRPr="00F04C53">
        <w:rPr>
          <w:rFonts w:ascii="Arial" w:hAnsi="Arial" w:cs="Arial"/>
          <w:sz w:val="22"/>
          <w:szCs w:val="22"/>
          <w:lang w:val="en-CA"/>
        </w:rPr>
        <w:t>.</w:t>
      </w:r>
      <w:r w:rsidR="00656782" w:rsidRPr="00F04C53">
        <w:rPr>
          <w:rFonts w:ascii="Arial" w:hAnsi="Arial" w:cs="Arial"/>
          <w:sz w:val="22"/>
          <w:szCs w:val="22"/>
          <w:lang w:val="en-CA"/>
        </w:rPr>
        <w:t xml:space="preserve"> </w:t>
      </w:r>
    </w:p>
    <w:p w14:paraId="677BB7D6" w14:textId="5B72ABA7" w:rsidR="00AC44BA" w:rsidRPr="00F04C53" w:rsidRDefault="00656782" w:rsidP="00AC44BA">
      <w:pPr>
        <w:spacing w:before="288" w:after="288" w:line="276" w:lineRule="auto"/>
        <w:ind w:left="426" w:right="714"/>
        <w:jc w:val="both"/>
        <w:rPr>
          <w:rFonts w:ascii="Arial" w:hAnsi="Arial" w:cs="Arial"/>
          <w:sz w:val="22"/>
          <w:szCs w:val="22"/>
          <w:lang w:val="en-CA"/>
        </w:rPr>
      </w:pPr>
      <w:r w:rsidRPr="00F04C53">
        <w:rPr>
          <w:rFonts w:ascii="Arial" w:hAnsi="Arial" w:cs="Arial"/>
          <w:sz w:val="22"/>
          <w:szCs w:val="22"/>
          <w:lang w:val="en-CA"/>
        </w:rPr>
        <w:t>The signatories mentioned that “w</w:t>
      </w:r>
      <w:r w:rsidR="00AC44BA" w:rsidRPr="00F04C53">
        <w:rPr>
          <w:rFonts w:ascii="Arial" w:hAnsi="Arial" w:cs="Arial"/>
          <w:sz w:val="22"/>
          <w:szCs w:val="22"/>
          <w:lang w:val="en-CA"/>
        </w:rPr>
        <w:t>hile these obligations provide a first step for rightsholders to enforce their rights</w:t>
      </w:r>
      <w:r w:rsidR="00770B38">
        <w:rPr>
          <w:rFonts w:ascii="Arial" w:hAnsi="Arial" w:cs="Arial"/>
          <w:sz w:val="22"/>
          <w:szCs w:val="22"/>
          <w:lang w:val="en-CA"/>
        </w:rPr>
        <w:t>”</w:t>
      </w:r>
      <w:r w:rsidR="00AC44BA" w:rsidRPr="00F04C53">
        <w:rPr>
          <w:rFonts w:ascii="Arial" w:hAnsi="Arial" w:cs="Arial"/>
          <w:sz w:val="22"/>
          <w:szCs w:val="22"/>
          <w:lang w:val="en-CA"/>
        </w:rPr>
        <w:t xml:space="preserve">, </w:t>
      </w:r>
      <w:r w:rsidR="00770B38">
        <w:rPr>
          <w:rFonts w:ascii="Arial" w:hAnsi="Arial" w:cs="Arial"/>
          <w:sz w:val="22"/>
          <w:szCs w:val="22"/>
          <w:lang w:val="en-CA"/>
        </w:rPr>
        <w:t>they</w:t>
      </w:r>
      <w:r w:rsidR="00AC44BA" w:rsidRPr="00F04C53">
        <w:rPr>
          <w:rFonts w:ascii="Arial" w:hAnsi="Arial" w:cs="Arial"/>
          <w:sz w:val="22"/>
          <w:szCs w:val="22"/>
          <w:lang w:val="en-CA"/>
        </w:rPr>
        <w:t xml:space="preserve"> call</w:t>
      </w:r>
      <w:r w:rsidR="00770B38">
        <w:rPr>
          <w:rFonts w:ascii="Arial" w:hAnsi="Arial" w:cs="Arial"/>
          <w:sz w:val="22"/>
          <w:szCs w:val="22"/>
          <w:lang w:val="en-CA"/>
        </w:rPr>
        <w:t>ed</w:t>
      </w:r>
      <w:r w:rsidR="00AC44BA" w:rsidRPr="00F04C53">
        <w:rPr>
          <w:rFonts w:ascii="Arial" w:hAnsi="Arial" w:cs="Arial"/>
          <w:sz w:val="22"/>
          <w:szCs w:val="22"/>
          <w:lang w:val="en-CA"/>
        </w:rPr>
        <w:t xml:space="preserve"> on the European Parliament </w:t>
      </w:r>
      <w:r w:rsidR="00770B38">
        <w:rPr>
          <w:rFonts w:ascii="Arial" w:hAnsi="Arial" w:cs="Arial"/>
          <w:sz w:val="22"/>
          <w:szCs w:val="22"/>
          <w:lang w:val="en-CA"/>
        </w:rPr>
        <w:t>“</w:t>
      </w:r>
      <w:r w:rsidR="00AC44BA" w:rsidRPr="00F04C53">
        <w:rPr>
          <w:rFonts w:ascii="Arial" w:hAnsi="Arial" w:cs="Arial"/>
          <w:sz w:val="22"/>
          <w:szCs w:val="22"/>
          <w:lang w:val="en-CA"/>
        </w:rPr>
        <w:t>to continue to support the development of responsible and sustainable AI by ensuring that these important rules are put into practice in a meaningful and effective way, aligned with the objectives of the regulation. To achieve this, it is essential that the template for the sufficient level of information that general-purpose AI model providers must make available enables effective exercise and enforcement of copyright and other fundamental rights, and that creative sectors and rightsholders are formally and directly involved in its drafting.</w:t>
      </w:r>
      <w:r w:rsidR="00770B38">
        <w:rPr>
          <w:rFonts w:ascii="Arial" w:hAnsi="Arial" w:cs="Arial"/>
          <w:sz w:val="22"/>
          <w:szCs w:val="22"/>
          <w:lang w:val="en-CA"/>
        </w:rPr>
        <w:t>”</w:t>
      </w:r>
      <w:r w:rsidR="00AC44BA" w:rsidRPr="00F04C53">
        <w:rPr>
          <w:rFonts w:ascii="Arial" w:hAnsi="Arial" w:cs="Arial"/>
          <w:sz w:val="22"/>
          <w:szCs w:val="22"/>
          <w:lang w:val="en-CA"/>
        </w:rPr>
        <w:t xml:space="preserve"> The statement was support</w:t>
      </w:r>
      <w:r w:rsidRPr="00F04C53">
        <w:rPr>
          <w:rFonts w:ascii="Arial" w:hAnsi="Arial" w:cs="Arial"/>
          <w:sz w:val="22"/>
          <w:szCs w:val="22"/>
          <w:lang w:val="en-CA"/>
        </w:rPr>
        <w:t>ed</w:t>
      </w:r>
      <w:r w:rsidR="00AC44BA" w:rsidRPr="00F04C53">
        <w:rPr>
          <w:rFonts w:ascii="Arial" w:hAnsi="Arial" w:cs="Arial"/>
          <w:sz w:val="22"/>
          <w:szCs w:val="22"/>
          <w:lang w:val="en-CA"/>
        </w:rPr>
        <w:t xml:space="preserve"> by more than 80 organi</w:t>
      </w:r>
      <w:r w:rsidRPr="00F04C53">
        <w:rPr>
          <w:rFonts w:ascii="Arial" w:hAnsi="Arial" w:cs="Arial"/>
          <w:sz w:val="22"/>
          <w:szCs w:val="22"/>
          <w:lang w:val="en-CA"/>
        </w:rPr>
        <w:t>z</w:t>
      </w:r>
      <w:r w:rsidR="00AC44BA" w:rsidRPr="00F04C53">
        <w:rPr>
          <w:rFonts w:ascii="Arial" w:hAnsi="Arial" w:cs="Arial"/>
          <w:sz w:val="22"/>
          <w:szCs w:val="22"/>
          <w:lang w:val="en-CA"/>
        </w:rPr>
        <w:t xml:space="preserve">ations, including </w:t>
      </w:r>
      <w:hyperlink r:id="rId21" w:history="1">
        <w:r w:rsidR="00AC44BA" w:rsidRPr="00F04C53">
          <w:rPr>
            <w:rStyle w:val="Hyperlink"/>
            <w:rFonts w:ascii="Arial" w:hAnsi="Arial" w:cs="Arial"/>
            <w:sz w:val="22"/>
            <w:szCs w:val="22"/>
            <w:lang w:val="en-CA"/>
          </w:rPr>
          <w:t>International Federation of Phonographic Industry</w:t>
        </w:r>
      </w:hyperlink>
      <w:r w:rsidR="00AC44BA" w:rsidRPr="00F04C53">
        <w:rPr>
          <w:rFonts w:ascii="Arial" w:hAnsi="Arial" w:cs="Arial"/>
          <w:sz w:val="22"/>
          <w:szCs w:val="22"/>
          <w:lang w:val="en-CA"/>
        </w:rPr>
        <w:t>, EUROCINEMA, IMPALA-European organi</w:t>
      </w:r>
      <w:r w:rsidRPr="00F04C53">
        <w:rPr>
          <w:rFonts w:ascii="Arial" w:hAnsi="Arial" w:cs="Arial"/>
          <w:sz w:val="22"/>
          <w:szCs w:val="22"/>
          <w:lang w:val="en-CA"/>
        </w:rPr>
        <w:t>z</w:t>
      </w:r>
      <w:r w:rsidR="00AC44BA" w:rsidRPr="00F04C53">
        <w:rPr>
          <w:rFonts w:ascii="Arial" w:hAnsi="Arial" w:cs="Arial"/>
          <w:sz w:val="22"/>
          <w:szCs w:val="22"/>
          <w:lang w:val="en-CA"/>
        </w:rPr>
        <w:t>ation of independent music companies.</w:t>
      </w:r>
    </w:p>
    <w:p w14:paraId="01A7182E" w14:textId="1A75C731" w:rsidR="00AC44BA" w:rsidRPr="00F04C53" w:rsidRDefault="00AC44BA" w:rsidP="00AC44BA">
      <w:pPr>
        <w:spacing w:before="288" w:after="288" w:line="276" w:lineRule="auto"/>
        <w:ind w:left="426" w:right="714"/>
        <w:jc w:val="both"/>
        <w:rPr>
          <w:rFonts w:ascii="Arial" w:hAnsi="Arial" w:cs="Arial"/>
          <w:sz w:val="22"/>
          <w:szCs w:val="22"/>
          <w:lang w:val="en-CA"/>
        </w:rPr>
      </w:pPr>
      <w:r w:rsidRPr="00F04C53">
        <w:rPr>
          <w:rFonts w:ascii="Arial" w:eastAsia="Arial" w:hAnsi="Arial" w:cs="Arial"/>
          <w:sz w:val="22"/>
          <w:szCs w:val="22"/>
          <w:lang w:val="en-CA"/>
        </w:rPr>
        <w:t xml:space="preserve">Mid-January 2024, in an international collective </w:t>
      </w:r>
      <w:hyperlink r:id="rId22" w:history="1">
        <w:r w:rsidRPr="00855EF3">
          <w:rPr>
            <w:rStyle w:val="Hyperlink"/>
            <w:rFonts w:ascii="Arial" w:eastAsia="Arial" w:hAnsi="Arial" w:cs="Arial"/>
            <w:color w:val="4472C4" w:themeColor="accent1"/>
            <w:sz w:val="22"/>
            <w:szCs w:val="22"/>
            <w:lang w:val="en-CA"/>
          </w:rPr>
          <w:t>statement</w:t>
        </w:r>
      </w:hyperlink>
      <w:r w:rsidRPr="00F04C53">
        <w:rPr>
          <w:rFonts w:ascii="Arial" w:eastAsia="Arial" w:hAnsi="Arial" w:cs="Arial"/>
          <w:sz w:val="22"/>
          <w:szCs w:val="22"/>
          <w:lang w:val="en-CA"/>
        </w:rPr>
        <w:t xml:space="preserve">, </w:t>
      </w:r>
      <w:r w:rsidR="00677457">
        <w:rPr>
          <w:rFonts w:ascii="Arial" w:eastAsia="Arial" w:hAnsi="Arial" w:cs="Arial"/>
          <w:sz w:val="22"/>
          <w:szCs w:val="22"/>
          <w:lang w:val="en-CA"/>
        </w:rPr>
        <w:t xml:space="preserve">20 </w:t>
      </w:r>
      <w:r w:rsidRPr="00F04C53">
        <w:rPr>
          <w:rFonts w:ascii="Arial" w:eastAsia="Arial" w:hAnsi="Arial" w:cs="Arial"/>
          <w:sz w:val="22"/>
          <w:szCs w:val="22"/>
          <w:lang w:val="en-CA"/>
        </w:rPr>
        <w:t xml:space="preserve">screen production organizations have urged governments to enact regulation toward streaming services. The statement provided a set of principles through which government regulation of digital streaming platforms should be guided. Among these principles, the </w:t>
      </w:r>
      <w:hyperlink r:id="rId23" w:history="1">
        <w:r w:rsidRPr="00F04C53">
          <w:rPr>
            <w:rStyle w:val="Hyperlink"/>
            <w:rFonts w:ascii="Arial" w:eastAsia="Arial" w:hAnsi="Arial" w:cs="Arial"/>
            <w:sz w:val="22"/>
            <w:szCs w:val="22"/>
            <w:lang w:val="en-CA"/>
          </w:rPr>
          <w:t>organizations</w:t>
        </w:r>
      </w:hyperlink>
      <w:r w:rsidRPr="00F04C53">
        <w:rPr>
          <w:rFonts w:ascii="Arial" w:eastAsia="Arial" w:hAnsi="Arial" w:cs="Arial"/>
          <w:sz w:val="22"/>
          <w:szCs w:val="22"/>
          <w:lang w:val="en-CA"/>
        </w:rPr>
        <w:t xml:space="preserve"> explicitly mentioned that “all platforms </w:t>
      </w:r>
      <w:r w:rsidRPr="00F04C53">
        <w:rPr>
          <w:rFonts w:ascii="Arial" w:hAnsi="Arial" w:cs="Arial"/>
          <w:sz w:val="22"/>
          <w:szCs w:val="22"/>
          <w:lang w:val="en-CA"/>
        </w:rPr>
        <w:t>that derive financial benefit from conducting business in the local market</w:t>
      </w:r>
      <w:r w:rsidR="00770B38">
        <w:rPr>
          <w:rFonts w:ascii="Arial" w:hAnsi="Arial" w:cs="Arial"/>
          <w:sz w:val="22"/>
          <w:szCs w:val="22"/>
          <w:lang w:val="en-CA"/>
        </w:rPr>
        <w:t xml:space="preserve"> </w:t>
      </w:r>
      <w:r w:rsidRPr="00F04C53">
        <w:rPr>
          <w:rFonts w:ascii="Arial" w:hAnsi="Arial" w:cs="Arial"/>
          <w:sz w:val="22"/>
          <w:szCs w:val="22"/>
          <w:lang w:val="en-CA"/>
        </w:rPr>
        <w:t>should</w:t>
      </w:r>
      <w:r w:rsidR="00770B38">
        <w:rPr>
          <w:rFonts w:ascii="Arial" w:hAnsi="Arial" w:cs="Arial"/>
          <w:sz w:val="22"/>
          <w:szCs w:val="22"/>
          <w:lang w:val="en-CA"/>
        </w:rPr>
        <w:t xml:space="preserve"> </w:t>
      </w:r>
      <w:r w:rsidRPr="00F04C53">
        <w:rPr>
          <w:rFonts w:ascii="Arial" w:hAnsi="Arial" w:cs="Arial"/>
          <w:sz w:val="22"/>
          <w:szCs w:val="22"/>
          <w:lang w:val="en-CA"/>
        </w:rPr>
        <w:t>financially</w:t>
      </w:r>
      <w:r w:rsidR="00770B38">
        <w:rPr>
          <w:rFonts w:ascii="Arial" w:hAnsi="Arial" w:cs="Arial"/>
          <w:sz w:val="22"/>
          <w:szCs w:val="22"/>
          <w:lang w:val="en-CA"/>
        </w:rPr>
        <w:t xml:space="preserve"> </w:t>
      </w:r>
      <w:r w:rsidRPr="00F04C53">
        <w:rPr>
          <w:rFonts w:ascii="Arial" w:hAnsi="Arial" w:cs="Arial"/>
          <w:sz w:val="22"/>
          <w:szCs w:val="22"/>
          <w:lang w:val="en-CA"/>
        </w:rPr>
        <w:t>contribute, proportionally, to the creation of new local content for the benefit of local audiences, by adding that “any government regulated investment framework should specify that the majority of this investment should be fulfilled through projects where </w:t>
      </w:r>
      <w:r w:rsidR="005A030B">
        <w:rPr>
          <w:rFonts w:ascii="Arial" w:hAnsi="Arial" w:cs="Arial"/>
          <w:sz w:val="22"/>
          <w:szCs w:val="22"/>
          <w:lang w:val="en-CA"/>
        </w:rPr>
        <w:t>[intellectual property]</w:t>
      </w:r>
      <w:r w:rsidRPr="00F04C53">
        <w:rPr>
          <w:rFonts w:ascii="Arial" w:hAnsi="Arial" w:cs="Arial"/>
          <w:sz w:val="22"/>
          <w:szCs w:val="22"/>
          <w:lang w:val="en-CA"/>
        </w:rPr>
        <w:t xml:space="preserve"> is under the control of independent screen businesses</w:t>
      </w:r>
      <w:r w:rsidR="00770B38">
        <w:rPr>
          <w:rFonts w:ascii="Arial" w:hAnsi="Arial" w:cs="Arial"/>
          <w:sz w:val="22"/>
          <w:szCs w:val="22"/>
          <w:lang w:val="en-CA"/>
        </w:rPr>
        <w:t>”</w:t>
      </w:r>
      <w:r w:rsidRPr="00F04C53">
        <w:rPr>
          <w:rFonts w:ascii="Arial" w:hAnsi="Arial" w:cs="Arial"/>
          <w:sz w:val="22"/>
          <w:szCs w:val="22"/>
          <w:lang w:val="en-CA"/>
        </w:rPr>
        <w:t xml:space="preserve">. The statement was supported by 20 organizations, including 14 from Europe and </w:t>
      </w:r>
      <w:r w:rsidR="00800022">
        <w:rPr>
          <w:rFonts w:ascii="Arial" w:hAnsi="Arial" w:cs="Arial"/>
          <w:sz w:val="22"/>
          <w:szCs w:val="22"/>
          <w:lang w:val="en-CA"/>
        </w:rPr>
        <w:t xml:space="preserve">three </w:t>
      </w:r>
      <w:r w:rsidRPr="00F04C53">
        <w:rPr>
          <w:rFonts w:ascii="Arial" w:hAnsi="Arial" w:cs="Arial"/>
          <w:sz w:val="22"/>
          <w:szCs w:val="22"/>
          <w:lang w:val="en-CA"/>
        </w:rPr>
        <w:t>from Canada.</w:t>
      </w:r>
    </w:p>
    <w:p w14:paraId="396F3F98" w14:textId="16B8E411" w:rsidR="00D57E22" w:rsidRPr="00F04C53" w:rsidRDefault="00FD4196" w:rsidP="00AB3180">
      <w:pPr>
        <w:spacing w:before="288" w:after="288" w:line="276" w:lineRule="auto"/>
        <w:ind w:left="426" w:right="714"/>
        <w:jc w:val="both"/>
        <w:rPr>
          <w:rFonts w:ascii="Arial" w:eastAsia="Arial" w:hAnsi="Arial" w:cs="Arial"/>
          <w:i/>
          <w:iCs/>
          <w:sz w:val="22"/>
          <w:szCs w:val="22"/>
          <w:lang w:val="en-CA"/>
        </w:rPr>
      </w:pPr>
      <w:r w:rsidRPr="00F04C53">
        <w:rPr>
          <w:rFonts w:ascii="Arial" w:eastAsia="Arial" w:hAnsi="Arial" w:cs="Arial"/>
          <w:b/>
          <w:sz w:val="22"/>
          <w:szCs w:val="22"/>
          <w:lang w:val="en-CA"/>
        </w:rPr>
        <w:t>Worldwide activities of online platforms</w:t>
      </w:r>
    </w:p>
    <w:p w14:paraId="34B725A3" w14:textId="77777777" w:rsidR="001503F6" w:rsidRPr="00F04C53" w:rsidRDefault="001503F6" w:rsidP="001503F6">
      <w:pPr>
        <w:spacing w:beforeLines="120" w:before="288" w:afterLines="120" w:after="288" w:line="276" w:lineRule="auto"/>
        <w:ind w:left="426" w:right="714"/>
        <w:jc w:val="both"/>
        <w:rPr>
          <w:rFonts w:ascii="Arial" w:hAnsi="Arial" w:cs="Arial"/>
          <w:i/>
          <w:sz w:val="22"/>
          <w:szCs w:val="22"/>
          <w:lang w:val="en-CA"/>
        </w:rPr>
      </w:pPr>
      <w:r w:rsidRPr="00F04C53">
        <w:rPr>
          <w:rFonts w:ascii="Arial" w:hAnsi="Arial" w:cs="Arial"/>
          <w:i/>
          <w:sz w:val="22"/>
          <w:szCs w:val="22"/>
          <w:lang w:val="en-CA"/>
        </w:rPr>
        <w:t>Music market</w:t>
      </w:r>
    </w:p>
    <w:p w14:paraId="0538B6BC" w14:textId="0A3C751A" w:rsidR="00561585" w:rsidRPr="00F04C53" w:rsidRDefault="001503F6" w:rsidP="00561585">
      <w:pPr>
        <w:spacing w:beforeLines="120" w:before="288" w:afterLines="120" w:after="288" w:line="276" w:lineRule="auto"/>
        <w:ind w:left="426" w:right="714"/>
        <w:jc w:val="both"/>
        <w:rPr>
          <w:rFonts w:ascii="Arial" w:hAnsi="Arial" w:cs="Arial"/>
          <w:sz w:val="22"/>
          <w:szCs w:val="22"/>
          <w:lang w:val="en-CA"/>
        </w:rPr>
      </w:pPr>
      <w:r w:rsidRPr="00F04C53">
        <w:rPr>
          <w:rFonts w:ascii="Arial" w:hAnsi="Arial" w:cs="Arial"/>
          <w:sz w:val="22"/>
          <w:szCs w:val="22"/>
          <w:lang w:val="en-CA"/>
        </w:rPr>
        <w:t>According to the International Federation of the Phonographic Industry (</w:t>
      </w:r>
      <w:hyperlink r:id="rId24" w:history="1">
        <w:r w:rsidRPr="00F04C53">
          <w:rPr>
            <w:rStyle w:val="Hyperlink"/>
            <w:rFonts w:ascii="Arial" w:hAnsi="Arial" w:cs="Arial"/>
            <w:sz w:val="22"/>
            <w:szCs w:val="22"/>
            <w:lang w:val="en-CA"/>
          </w:rPr>
          <w:t>IFPI</w:t>
        </w:r>
      </w:hyperlink>
      <w:r w:rsidRPr="00F04C53">
        <w:rPr>
          <w:rFonts w:ascii="Arial" w:hAnsi="Arial" w:cs="Arial"/>
          <w:sz w:val="22"/>
          <w:szCs w:val="22"/>
          <w:lang w:val="en-CA"/>
        </w:rPr>
        <w:t xml:space="preserve">), global recorded music revenues increased for the ninth consecutive year in 2023, with total revenues rising 10.2% to 28.6 billion USD. The </w:t>
      </w:r>
      <w:hyperlink r:id="rId25" w:history="1">
        <w:r w:rsidRPr="00F04C53">
          <w:rPr>
            <w:rStyle w:val="Hyperlink"/>
            <w:rFonts w:ascii="Arial" w:hAnsi="Arial" w:cs="Arial"/>
            <w:sz w:val="22"/>
            <w:szCs w:val="22"/>
            <w:lang w:val="en-CA"/>
          </w:rPr>
          <w:t>Global Music Report 2024</w:t>
        </w:r>
      </w:hyperlink>
      <w:r w:rsidRPr="00F04C53">
        <w:rPr>
          <w:rFonts w:ascii="Arial" w:hAnsi="Arial" w:cs="Arial"/>
          <w:sz w:val="22"/>
          <w:szCs w:val="22"/>
          <w:lang w:val="en-CA"/>
        </w:rPr>
        <w:t xml:space="preserve"> show</w:t>
      </w:r>
      <w:r w:rsidR="000920CB">
        <w:rPr>
          <w:rFonts w:ascii="Arial" w:hAnsi="Arial" w:cs="Arial"/>
          <w:sz w:val="22"/>
          <w:szCs w:val="22"/>
          <w:lang w:val="en-CA"/>
        </w:rPr>
        <w:t xml:space="preserve">s </w:t>
      </w:r>
      <w:r w:rsidRPr="00F04C53">
        <w:rPr>
          <w:rFonts w:ascii="Arial" w:hAnsi="Arial" w:cs="Arial"/>
          <w:sz w:val="22"/>
          <w:szCs w:val="22"/>
          <w:lang w:val="en-CA"/>
        </w:rPr>
        <w:t xml:space="preserve">that </w:t>
      </w:r>
      <w:r w:rsidRPr="00F04C53">
        <w:rPr>
          <w:rFonts w:ascii="Arial" w:hAnsi="Arial" w:cs="Arial"/>
          <w:sz w:val="22"/>
          <w:szCs w:val="22"/>
          <w:lang w:val="en-CA"/>
        </w:rPr>
        <w:lastRenderedPageBreak/>
        <w:t xml:space="preserve">“streaming continued its domination of global revenues again </w:t>
      </w:r>
      <w:r w:rsidR="00561585" w:rsidRPr="00F04C53">
        <w:rPr>
          <w:rFonts w:ascii="Arial" w:hAnsi="Arial" w:cs="Arial"/>
          <w:sz w:val="22"/>
          <w:szCs w:val="22"/>
          <w:lang w:val="en-CA"/>
        </w:rPr>
        <w:t>in 2023 but all music formats recorded increased revenues with the exception of downloads and other digital”.</w:t>
      </w:r>
      <w:r w:rsidRPr="00F04C53">
        <w:rPr>
          <w:rFonts w:ascii="Arial" w:hAnsi="Arial" w:cs="Arial"/>
          <w:sz w:val="22"/>
          <w:szCs w:val="22"/>
          <w:lang w:val="en-CA"/>
        </w:rPr>
        <w:t xml:space="preserve"> </w:t>
      </w:r>
      <w:r w:rsidR="00561585" w:rsidRPr="00F04C53">
        <w:rPr>
          <w:rFonts w:ascii="Arial" w:hAnsi="Arial" w:cs="Arial"/>
          <w:sz w:val="22"/>
          <w:szCs w:val="22"/>
          <w:lang w:val="en-CA"/>
        </w:rPr>
        <w:t>T</w:t>
      </w:r>
      <w:r w:rsidRPr="00F04C53">
        <w:rPr>
          <w:rFonts w:ascii="Arial" w:hAnsi="Arial" w:cs="Arial"/>
          <w:sz w:val="22"/>
          <w:szCs w:val="22"/>
          <w:lang w:val="en-CA"/>
        </w:rPr>
        <w:t xml:space="preserve">he growth has been driven by streaming (including both paid subscription and advertising supported), which grew 11.2% year-on-year to 19.3 billion USD and now accounts for more than two-thirds of the total global market, representing 67.3% of total global revenues (see Table 1). Within that, </w:t>
      </w:r>
      <w:r w:rsidR="00561585" w:rsidRPr="00F04C53">
        <w:rPr>
          <w:rFonts w:ascii="Arial" w:hAnsi="Arial" w:cs="Arial"/>
          <w:sz w:val="22"/>
          <w:szCs w:val="22"/>
          <w:lang w:val="en-CA"/>
        </w:rPr>
        <w:t xml:space="preserve">subscription streaming revenues made up almost half (48.9%) of the global market, </w:t>
      </w:r>
      <w:r w:rsidRPr="00F04C53">
        <w:rPr>
          <w:rFonts w:ascii="Arial" w:hAnsi="Arial" w:cs="Arial"/>
          <w:sz w:val="22"/>
          <w:szCs w:val="22"/>
          <w:lang w:val="en-CA"/>
        </w:rPr>
        <w:t xml:space="preserve">with in total </w:t>
      </w:r>
      <w:r w:rsidR="00561585" w:rsidRPr="00F04C53">
        <w:rPr>
          <w:rFonts w:ascii="Arial" w:hAnsi="Arial" w:cs="Arial"/>
          <w:sz w:val="22"/>
          <w:szCs w:val="22"/>
          <w:lang w:val="en-CA"/>
        </w:rPr>
        <w:t>667</w:t>
      </w:r>
      <w:r w:rsidRPr="00F04C53">
        <w:rPr>
          <w:rFonts w:ascii="Arial" w:hAnsi="Arial" w:cs="Arial"/>
          <w:sz w:val="22"/>
          <w:szCs w:val="22"/>
          <w:lang w:val="en-CA"/>
        </w:rPr>
        <w:t xml:space="preserve"> million users of paid subscription accounts</w:t>
      </w:r>
      <w:r w:rsidR="00561585" w:rsidRPr="00F04C53">
        <w:rPr>
          <w:rFonts w:ascii="Arial" w:hAnsi="Arial" w:cs="Arial"/>
          <w:sz w:val="22"/>
          <w:szCs w:val="22"/>
          <w:lang w:val="en-CA"/>
        </w:rPr>
        <w:t>, “with household penetration varying greatly by country”.</w:t>
      </w:r>
    </w:p>
    <w:p w14:paraId="712BAC36" w14:textId="3E7F5703" w:rsidR="001503F6" w:rsidRPr="00F04C53" w:rsidRDefault="001503F6" w:rsidP="00561585">
      <w:pPr>
        <w:spacing w:beforeLines="120" w:before="288" w:afterLines="120" w:after="288" w:line="276" w:lineRule="auto"/>
        <w:ind w:left="426" w:right="714"/>
        <w:jc w:val="both"/>
        <w:rPr>
          <w:rFonts w:ascii="Arial" w:hAnsi="Arial" w:cs="Arial"/>
          <w:sz w:val="22"/>
          <w:szCs w:val="22"/>
          <w:lang w:val="en-CA"/>
        </w:rPr>
      </w:pPr>
      <w:r w:rsidRPr="00F04C53">
        <w:rPr>
          <w:rFonts w:ascii="Arial" w:hAnsi="Arial" w:cs="Arial"/>
          <w:sz w:val="22"/>
          <w:szCs w:val="22"/>
          <w:lang w:val="en-CA"/>
        </w:rPr>
        <w:t>According to the study,</w:t>
      </w:r>
      <w:r w:rsidR="00561585" w:rsidRPr="00F04C53">
        <w:rPr>
          <w:rFonts w:ascii="Arial" w:hAnsi="Arial" w:cs="Arial"/>
          <w:sz w:val="22"/>
          <w:szCs w:val="22"/>
          <w:lang w:val="en-CA"/>
        </w:rPr>
        <w:t xml:space="preserve"> for a third consecutive year, physical revenues rose with an increase of 13.4% in 2023, driven by strong gains in CD revenue and the continued expansion of interest </w:t>
      </w:r>
      <w:r w:rsidR="007D6E45">
        <w:rPr>
          <w:rFonts w:ascii="Arial" w:hAnsi="Arial" w:cs="Arial"/>
          <w:sz w:val="22"/>
          <w:szCs w:val="22"/>
          <w:lang w:val="en-CA"/>
        </w:rPr>
        <w:t xml:space="preserve">in </w:t>
      </w:r>
      <w:r w:rsidR="00561585" w:rsidRPr="00F04C53">
        <w:rPr>
          <w:rFonts w:ascii="Arial" w:hAnsi="Arial" w:cs="Arial"/>
          <w:sz w:val="22"/>
          <w:szCs w:val="22"/>
          <w:lang w:val="en-CA"/>
        </w:rPr>
        <w:t>vinyl. D</w:t>
      </w:r>
      <w:r w:rsidRPr="00F04C53">
        <w:rPr>
          <w:rFonts w:ascii="Arial" w:hAnsi="Arial" w:cs="Arial"/>
          <w:sz w:val="22"/>
          <w:szCs w:val="22"/>
          <w:lang w:val="en-CA"/>
        </w:rPr>
        <w:t>ownloads and other digital was the only channel to see a decline in 202</w:t>
      </w:r>
      <w:r w:rsidR="00561585" w:rsidRPr="00F04C53">
        <w:rPr>
          <w:rFonts w:ascii="Arial" w:hAnsi="Arial" w:cs="Arial"/>
          <w:sz w:val="22"/>
          <w:szCs w:val="22"/>
          <w:lang w:val="en-CA"/>
        </w:rPr>
        <w:t>3</w:t>
      </w:r>
      <w:r w:rsidRPr="00F04C53">
        <w:rPr>
          <w:rFonts w:ascii="Arial" w:hAnsi="Arial" w:cs="Arial"/>
          <w:sz w:val="22"/>
          <w:szCs w:val="22"/>
          <w:lang w:val="en-CA"/>
        </w:rPr>
        <w:t xml:space="preserve"> and fell by </w:t>
      </w:r>
      <w:r w:rsidR="00561585" w:rsidRPr="00F04C53">
        <w:rPr>
          <w:rFonts w:ascii="Arial" w:hAnsi="Arial" w:cs="Arial"/>
          <w:sz w:val="22"/>
          <w:szCs w:val="22"/>
          <w:lang w:val="en-CA"/>
        </w:rPr>
        <w:t>2</w:t>
      </w:r>
      <w:r w:rsidRPr="00F04C53">
        <w:rPr>
          <w:rFonts w:ascii="Arial" w:hAnsi="Arial" w:cs="Arial"/>
          <w:sz w:val="22"/>
          <w:szCs w:val="22"/>
          <w:lang w:val="en-CA"/>
        </w:rPr>
        <w:t>.</w:t>
      </w:r>
      <w:r w:rsidR="00561585" w:rsidRPr="00F04C53">
        <w:rPr>
          <w:rFonts w:ascii="Arial" w:hAnsi="Arial" w:cs="Arial"/>
          <w:sz w:val="22"/>
          <w:szCs w:val="22"/>
          <w:lang w:val="en-CA"/>
        </w:rPr>
        <w:t>6</w:t>
      </w:r>
      <w:r w:rsidRPr="00F04C53">
        <w:rPr>
          <w:rFonts w:ascii="Arial" w:hAnsi="Arial" w:cs="Arial"/>
          <w:sz w:val="22"/>
          <w:szCs w:val="22"/>
          <w:lang w:val="en-CA"/>
        </w:rPr>
        <w:t xml:space="preserve">% as the trajectory of digital music consumption </w:t>
      </w:r>
      <w:r w:rsidR="00561585" w:rsidRPr="00F04C53">
        <w:rPr>
          <w:rFonts w:ascii="Arial" w:hAnsi="Arial" w:cs="Arial"/>
          <w:sz w:val="22"/>
          <w:szCs w:val="22"/>
          <w:lang w:val="en-CA"/>
        </w:rPr>
        <w:t>has</w:t>
      </w:r>
      <w:r w:rsidRPr="00F04C53">
        <w:rPr>
          <w:rFonts w:ascii="Arial" w:hAnsi="Arial" w:cs="Arial"/>
          <w:sz w:val="22"/>
          <w:szCs w:val="22"/>
          <w:lang w:val="en-CA"/>
        </w:rPr>
        <w:t xml:space="preserve"> move</w:t>
      </w:r>
      <w:r w:rsidR="00561585" w:rsidRPr="00F04C53">
        <w:rPr>
          <w:rFonts w:ascii="Arial" w:hAnsi="Arial" w:cs="Arial"/>
          <w:sz w:val="22"/>
          <w:szCs w:val="22"/>
          <w:lang w:val="en-CA"/>
        </w:rPr>
        <w:t>d</w:t>
      </w:r>
      <w:r w:rsidRPr="00F04C53">
        <w:rPr>
          <w:rFonts w:ascii="Arial" w:hAnsi="Arial" w:cs="Arial"/>
          <w:sz w:val="22"/>
          <w:szCs w:val="22"/>
          <w:lang w:val="en-CA"/>
        </w:rPr>
        <w:t xml:space="preserve"> from an ownership to an access model</w:t>
      </w:r>
      <w:r w:rsidR="00561585" w:rsidRPr="00F04C53">
        <w:rPr>
          <w:rFonts w:ascii="Arial" w:hAnsi="Arial" w:cs="Arial"/>
          <w:sz w:val="22"/>
          <w:szCs w:val="22"/>
          <w:lang w:val="en-CA"/>
        </w:rPr>
        <w:t xml:space="preserve"> and streaming formats dominate the digital market.</w:t>
      </w:r>
      <w:r w:rsidRPr="00F04C53">
        <w:rPr>
          <w:rFonts w:ascii="Arial" w:hAnsi="Arial" w:cs="Arial"/>
          <w:sz w:val="22"/>
          <w:szCs w:val="22"/>
          <w:lang w:val="en-CA"/>
        </w:rPr>
        <w:t xml:space="preserve">  </w:t>
      </w:r>
    </w:p>
    <w:p w14:paraId="01070B25" w14:textId="23825C87" w:rsidR="001503F6" w:rsidRDefault="001503F6" w:rsidP="006A0860">
      <w:pPr>
        <w:spacing w:beforeLines="120" w:before="288" w:afterLines="120" w:after="288" w:line="276" w:lineRule="auto"/>
        <w:ind w:left="426" w:right="714"/>
        <w:jc w:val="both"/>
        <w:rPr>
          <w:rFonts w:ascii="Arial" w:hAnsi="Arial" w:cs="Arial"/>
          <w:sz w:val="22"/>
          <w:szCs w:val="22"/>
          <w:lang w:val="en-CA"/>
        </w:rPr>
      </w:pPr>
      <w:r w:rsidRPr="00F04C53">
        <w:rPr>
          <w:rFonts w:ascii="Arial" w:hAnsi="Arial" w:cs="Arial"/>
          <w:sz w:val="22"/>
          <w:szCs w:val="22"/>
          <w:lang w:val="en-CA"/>
        </w:rPr>
        <w:t>Among the world’s</w:t>
      </w:r>
      <w:r w:rsidRPr="00F04C53">
        <w:rPr>
          <w:lang w:val="en-CA"/>
        </w:rPr>
        <w:t xml:space="preserve"> </w:t>
      </w:r>
      <w:r w:rsidRPr="00F04C53">
        <w:rPr>
          <w:rFonts w:ascii="Arial" w:hAnsi="Arial" w:cs="Arial"/>
          <w:sz w:val="22"/>
          <w:szCs w:val="22"/>
          <w:lang w:val="en-CA"/>
        </w:rPr>
        <w:t xml:space="preserve">regions, </w:t>
      </w:r>
      <w:r w:rsidR="00561585" w:rsidRPr="00F04C53">
        <w:rPr>
          <w:rFonts w:ascii="Arial" w:hAnsi="Arial" w:cs="Arial"/>
          <w:sz w:val="22"/>
          <w:szCs w:val="22"/>
          <w:lang w:val="en-CA"/>
        </w:rPr>
        <w:t>Sub</w:t>
      </w:r>
      <w:r w:rsidR="00947A50">
        <w:rPr>
          <w:rFonts w:ascii="Arial" w:hAnsi="Arial" w:cs="Arial"/>
          <w:sz w:val="22"/>
          <w:szCs w:val="22"/>
          <w:lang w:val="en-CA"/>
        </w:rPr>
        <w:t>-</w:t>
      </w:r>
      <w:r w:rsidR="00561585" w:rsidRPr="00F04C53">
        <w:rPr>
          <w:rFonts w:ascii="Arial" w:hAnsi="Arial" w:cs="Arial"/>
          <w:sz w:val="22"/>
          <w:szCs w:val="22"/>
          <w:lang w:val="en-CA"/>
        </w:rPr>
        <w:t>Saharan Africa</w:t>
      </w:r>
      <w:r w:rsidRPr="00F04C53">
        <w:rPr>
          <w:rFonts w:ascii="Arial" w:hAnsi="Arial" w:cs="Arial"/>
          <w:sz w:val="22"/>
          <w:szCs w:val="22"/>
          <w:lang w:val="en-CA"/>
        </w:rPr>
        <w:t xml:space="preserve"> was the fastest-growing region, with a remarkable growth of </w:t>
      </w:r>
      <w:r w:rsidR="00561585" w:rsidRPr="00F04C53">
        <w:rPr>
          <w:rFonts w:ascii="Arial" w:hAnsi="Arial" w:cs="Arial"/>
          <w:sz w:val="22"/>
          <w:szCs w:val="22"/>
          <w:lang w:val="en-CA"/>
        </w:rPr>
        <w:t>24.7%. South Africa remained</w:t>
      </w:r>
      <w:r w:rsidRPr="00F04C53">
        <w:rPr>
          <w:rFonts w:ascii="Arial" w:hAnsi="Arial" w:cs="Arial"/>
          <w:sz w:val="22"/>
          <w:szCs w:val="22"/>
          <w:lang w:val="en-CA"/>
        </w:rPr>
        <w:t xml:space="preserve"> </w:t>
      </w:r>
      <w:r w:rsidR="00561585" w:rsidRPr="00F04C53">
        <w:rPr>
          <w:rFonts w:ascii="Arial" w:hAnsi="Arial" w:cs="Arial"/>
          <w:sz w:val="22"/>
          <w:szCs w:val="22"/>
          <w:lang w:val="en-CA"/>
        </w:rPr>
        <w:t xml:space="preserve">“the largest market in the region, contributing to 77% of regional revenues after growth of 19.9%”. </w:t>
      </w:r>
      <w:r w:rsidR="006A0860" w:rsidRPr="00F04C53">
        <w:rPr>
          <w:rFonts w:ascii="Arial" w:hAnsi="Arial" w:cs="Arial"/>
          <w:sz w:val="22"/>
          <w:szCs w:val="22"/>
          <w:lang w:val="en-CA"/>
        </w:rPr>
        <w:t>Sub</w:t>
      </w:r>
      <w:r w:rsidR="00947A50">
        <w:rPr>
          <w:rFonts w:ascii="Arial" w:hAnsi="Arial" w:cs="Arial"/>
          <w:sz w:val="22"/>
          <w:szCs w:val="22"/>
          <w:lang w:val="en-CA"/>
        </w:rPr>
        <w:t>-</w:t>
      </w:r>
      <w:r w:rsidR="006A0860" w:rsidRPr="00F04C53">
        <w:rPr>
          <w:rFonts w:ascii="Arial" w:hAnsi="Arial" w:cs="Arial"/>
          <w:sz w:val="22"/>
          <w:szCs w:val="22"/>
          <w:lang w:val="en-CA"/>
        </w:rPr>
        <w:t>S</w:t>
      </w:r>
      <w:r w:rsidR="00947A50">
        <w:rPr>
          <w:rFonts w:ascii="Arial" w:hAnsi="Arial" w:cs="Arial"/>
          <w:sz w:val="22"/>
          <w:szCs w:val="22"/>
          <w:lang w:val="en-CA"/>
        </w:rPr>
        <w:t>a</w:t>
      </w:r>
      <w:r w:rsidR="006A0860" w:rsidRPr="00F04C53">
        <w:rPr>
          <w:rFonts w:ascii="Arial" w:hAnsi="Arial" w:cs="Arial"/>
          <w:sz w:val="22"/>
          <w:szCs w:val="22"/>
          <w:lang w:val="en-CA"/>
        </w:rPr>
        <w:t xml:space="preserve">haran Africa was </w:t>
      </w:r>
      <w:r w:rsidRPr="00F04C53">
        <w:rPr>
          <w:rFonts w:ascii="Arial" w:hAnsi="Arial" w:cs="Arial"/>
          <w:sz w:val="22"/>
          <w:szCs w:val="22"/>
          <w:lang w:val="en-CA"/>
        </w:rPr>
        <w:t>followed by Latin America (+</w:t>
      </w:r>
      <w:r w:rsidR="006A0860" w:rsidRPr="00F04C53">
        <w:rPr>
          <w:rFonts w:ascii="Arial" w:hAnsi="Arial" w:cs="Arial"/>
          <w:sz w:val="22"/>
          <w:szCs w:val="22"/>
          <w:lang w:val="en-CA"/>
        </w:rPr>
        <w:t>19</w:t>
      </w:r>
      <w:r w:rsidRPr="00F04C53">
        <w:rPr>
          <w:rFonts w:ascii="Arial" w:hAnsi="Arial" w:cs="Arial"/>
          <w:sz w:val="22"/>
          <w:szCs w:val="22"/>
          <w:lang w:val="en-CA"/>
        </w:rPr>
        <w:t>.</w:t>
      </w:r>
      <w:r w:rsidR="006A0860" w:rsidRPr="00F04C53">
        <w:rPr>
          <w:rFonts w:ascii="Arial" w:hAnsi="Arial" w:cs="Arial"/>
          <w:sz w:val="22"/>
          <w:szCs w:val="22"/>
          <w:lang w:val="en-CA"/>
        </w:rPr>
        <w:t>4</w:t>
      </w:r>
      <w:r w:rsidRPr="00F04C53">
        <w:rPr>
          <w:rFonts w:ascii="Arial" w:hAnsi="Arial" w:cs="Arial"/>
          <w:sz w:val="22"/>
          <w:szCs w:val="22"/>
          <w:lang w:val="en-CA"/>
        </w:rPr>
        <w:t>%), where streaming revenues accounted for 8</w:t>
      </w:r>
      <w:r w:rsidR="006A0860" w:rsidRPr="00F04C53">
        <w:rPr>
          <w:rFonts w:ascii="Arial" w:hAnsi="Arial" w:cs="Arial"/>
          <w:sz w:val="22"/>
          <w:szCs w:val="22"/>
          <w:lang w:val="en-CA"/>
        </w:rPr>
        <w:t>6</w:t>
      </w:r>
      <w:r w:rsidRPr="00F04C53">
        <w:rPr>
          <w:rFonts w:ascii="Arial" w:hAnsi="Arial" w:cs="Arial"/>
          <w:sz w:val="22"/>
          <w:szCs w:val="22"/>
          <w:lang w:val="en-CA"/>
        </w:rPr>
        <w:t>.</w:t>
      </w:r>
      <w:r w:rsidR="006A0860" w:rsidRPr="00F04C53">
        <w:rPr>
          <w:rFonts w:ascii="Arial" w:hAnsi="Arial" w:cs="Arial"/>
          <w:sz w:val="22"/>
          <w:szCs w:val="22"/>
          <w:lang w:val="en-CA"/>
        </w:rPr>
        <w:t>3</w:t>
      </w:r>
      <w:r w:rsidRPr="00F04C53">
        <w:rPr>
          <w:rFonts w:ascii="Arial" w:hAnsi="Arial" w:cs="Arial"/>
          <w:sz w:val="22"/>
          <w:szCs w:val="22"/>
          <w:lang w:val="en-CA"/>
        </w:rPr>
        <w:t xml:space="preserve">% of the Latin American market, one of the highest proportions in any region. </w:t>
      </w:r>
      <w:r w:rsidR="006A0860" w:rsidRPr="00F04C53">
        <w:rPr>
          <w:rFonts w:ascii="Arial" w:hAnsi="Arial" w:cs="Arial"/>
          <w:sz w:val="22"/>
          <w:szCs w:val="22"/>
          <w:lang w:val="en-CA"/>
        </w:rPr>
        <w:t>T</w:t>
      </w:r>
      <w:r w:rsidRPr="00F04C53">
        <w:rPr>
          <w:rFonts w:ascii="Arial" w:hAnsi="Arial" w:cs="Arial"/>
          <w:sz w:val="22"/>
          <w:szCs w:val="22"/>
          <w:lang w:val="en-CA"/>
        </w:rPr>
        <w:t xml:space="preserve">here was overall revenue growth of </w:t>
      </w:r>
      <w:r w:rsidR="006A0860" w:rsidRPr="00F04C53">
        <w:rPr>
          <w:rFonts w:ascii="Arial" w:hAnsi="Arial" w:cs="Arial"/>
          <w:sz w:val="22"/>
          <w:szCs w:val="22"/>
          <w:lang w:val="en-CA"/>
        </w:rPr>
        <w:t>14.4</w:t>
      </w:r>
      <w:r w:rsidRPr="00F04C53">
        <w:rPr>
          <w:rFonts w:ascii="Arial" w:hAnsi="Arial" w:cs="Arial"/>
          <w:sz w:val="22"/>
          <w:szCs w:val="22"/>
          <w:lang w:val="en-CA"/>
        </w:rPr>
        <w:t>% in</w:t>
      </w:r>
      <w:r w:rsidR="006A0860" w:rsidRPr="00F04C53">
        <w:rPr>
          <w:rFonts w:ascii="Arial" w:hAnsi="Arial" w:cs="Arial"/>
          <w:sz w:val="22"/>
          <w:szCs w:val="22"/>
          <w:lang w:val="en-CA"/>
        </w:rPr>
        <w:t xml:space="preserve"> the Middle East and North Africa, where streaming revenues dominated once more with a 98.4% share of the market in that region. Finally, there was overall revenue growth of 14.9% in Asia</w:t>
      </w:r>
      <w:r w:rsidRPr="00F04C53">
        <w:rPr>
          <w:rFonts w:ascii="Arial" w:hAnsi="Arial" w:cs="Arial"/>
          <w:sz w:val="22"/>
          <w:szCs w:val="22"/>
          <w:lang w:val="en-CA"/>
        </w:rPr>
        <w:t>,</w:t>
      </w:r>
      <w:r w:rsidR="006A0860" w:rsidRPr="00F04C53">
        <w:rPr>
          <w:rFonts w:ascii="Arial" w:hAnsi="Arial" w:cs="Arial"/>
          <w:sz w:val="22"/>
          <w:szCs w:val="22"/>
          <w:lang w:val="en-CA"/>
        </w:rPr>
        <w:t xml:space="preserve"> where </w:t>
      </w:r>
      <w:r w:rsidR="00AB3809">
        <w:rPr>
          <w:rFonts w:ascii="Arial" w:hAnsi="Arial" w:cs="Arial"/>
          <w:sz w:val="22"/>
          <w:szCs w:val="22"/>
          <w:lang w:val="en-CA"/>
        </w:rPr>
        <w:t>“</w:t>
      </w:r>
      <w:r w:rsidR="006A0860" w:rsidRPr="00F04C53">
        <w:rPr>
          <w:rFonts w:ascii="Arial" w:hAnsi="Arial" w:cs="Arial"/>
          <w:sz w:val="22"/>
          <w:szCs w:val="22"/>
          <w:lang w:val="en-CA"/>
        </w:rPr>
        <w:t>there was steep growth in China of 25.9%, the fastest rate of increase in any top 10 market</w:t>
      </w:r>
      <w:r w:rsidR="00A95B01">
        <w:rPr>
          <w:rFonts w:ascii="Arial" w:hAnsi="Arial" w:cs="Arial"/>
          <w:sz w:val="22"/>
          <w:szCs w:val="22"/>
          <w:lang w:val="en-CA"/>
        </w:rPr>
        <w:t>”</w:t>
      </w:r>
      <w:r w:rsidRPr="00F04C53">
        <w:rPr>
          <w:rFonts w:ascii="Arial" w:hAnsi="Arial" w:cs="Arial"/>
          <w:sz w:val="22"/>
          <w:szCs w:val="22"/>
          <w:lang w:val="en-CA"/>
        </w:rPr>
        <w:t xml:space="preserve">. </w:t>
      </w:r>
    </w:p>
    <w:p w14:paraId="5A87E29A" w14:textId="40914964" w:rsidR="001B5BBB" w:rsidRPr="001B5BBB" w:rsidRDefault="001B5BBB" w:rsidP="006A0860">
      <w:pPr>
        <w:spacing w:beforeLines="120" w:before="288" w:afterLines="120" w:after="288" w:line="276" w:lineRule="auto"/>
        <w:ind w:left="426" w:right="714"/>
        <w:jc w:val="both"/>
        <w:rPr>
          <w:rFonts w:ascii="Arial" w:hAnsi="Arial" w:cs="Arial"/>
          <w:b/>
          <w:sz w:val="22"/>
          <w:szCs w:val="22"/>
          <w:lang w:val="en-CA"/>
        </w:rPr>
      </w:pPr>
      <w:r w:rsidRPr="001B5BBB">
        <w:rPr>
          <w:rFonts w:ascii="Arial" w:hAnsi="Arial" w:cs="Arial"/>
          <w:b/>
          <w:sz w:val="22"/>
          <w:szCs w:val="22"/>
          <w:lang w:val="en-CA"/>
        </w:rPr>
        <w:t>Table 1</w:t>
      </w:r>
    </w:p>
    <w:tbl>
      <w:tblPr>
        <w:tblStyle w:val="a1"/>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7"/>
        <w:gridCol w:w="778"/>
        <w:gridCol w:w="779"/>
        <w:gridCol w:w="781"/>
        <w:gridCol w:w="661"/>
        <w:gridCol w:w="815"/>
        <w:gridCol w:w="702"/>
        <w:gridCol w:w="702"/>
        <w:gridCol w:w="702"/>
        <w:gridCol w:w="702"/>
        <w:gridCol w:w="702"/>
      </w:tblGrid>
      <w:tr w:rsidR="006A0860" w:rsidRPr="00F04C53" w14:paraId="5F9326F6" w14:textId="77777777" w:rsidTr="006A0860">
        <w:trPr>
          <w:trHeight w:val="660"/>
          <w:jc w:val="center"/>
        </w:trPr>
        <w:tc>
          <w:tcPr>
            <w:tcW w:w="1857" w:type="dxa"/>
            <w:shd w:val="clear" w:color="auto" w:fill="D5DCE4"/>
          </w:tcPr>
          <w:p w14:paraId="5C693A3F"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Revenues (in USD) / Year</w:t>
            </w:r>
          </w:p>
        </w:tc>
        <w:tc>
          <w:tcPr>
            <w:tcW w:w="778" w:type="dxa"/>
            <w:shd w:val="clear" w:color="auto" w:fill="D5DCE4"/>
          </w:tcPr>
          <w:p w14:paraId="4BEC639E"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1999</w:t>
            </w:r>
          </w:p>
        </w:tc>
        <w:tc>
          <w:tcPr>
            <w:tcW w:w="779" w:type="dxa"/>
            <w:shd w:val="clear" w:color="auto" w:fill="D5DCE4"/>
          </w:tcPr>
          <w:p w14:paraId="46B69158"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2004</w:t>
            </w:r>
          </w:p>
        </w:tc>
        <w:tc>
          <w:tcPr>
            <w:tcW w:w="781" w:type="dxa"/>
            <w:shd w:val="clear" w:color="auto" w:fill="D5DCE4"/>
          </w:tcPr>
          <w:p w14:paraId="64F2BADA"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2009</w:t>
            </w:r>
          </w:p>
        </w:tc>
        <w:tc>
          <w:tcPr>
            <w:tcW w:w="661" w:type="dxa"/>
            <w:shd w:val="clear" w:color="auto" w:fill="D5DCE4"/>
          </w:tcPr>
          <w:p w14:paraId="4EF72DE3"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2012</w:t>
            </w:r>
          </w:p>
        </w:tc>
        <w:tc>
          <w:tcPr>
            <w:tcW w:w="815" w:type="dxa"/>
            <w:shd w:val="clear" w:color="auto" w:fill="D5DCE4"/>
          </w:tcPr>
          <w:p w14:paraId="7BA83E7E"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2014</w:t>
            </w:r>
          </w:p>
        </w:tc>
        <w:tc>
          <w:tcPr>
            <w:tcW w:w="702" w:type="dxa"/>
            <w:shd w:val="clear" w:color="auto" w:fill="D5DCE4"/>
          </w:tcPr>
          <w:p w14:paraId="7AB73F1F" w14:textId="250D6EDC"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2017</w:t>
            </w:r>
          </w:p>
        </w:tc>
        <w:tc>
          <w:tcPr>
            <w:tcW w:w="702" w:type="dxa"/>
            <w:shd w:val="clear" w:color="auto" w:fill="D5DCE4"/>
          </w:tcPr>
          <w:p w14:paraId="62FD8B9C" w14:textId="0F62A945"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2019</w:t>
            </w:r>
          </w:p>
        </w:tc>
        <w:tc>
          <w:tcPr>
            <w:tcW w:w="702" w:type="dxa"/>
            <w:shd w:val="clear" w:color="auto" w:fill="D5DCE4"/>
          </w:tcPr>
          <w:p w14:paraId="33E1C98C" w14:textId="57046A25"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2021</w:t>
            </w:r>
          </w:p>
        </w:tc>
        <w:tc>
          <w:tcPr>
            <w:tcW w:w="702" w:type="dxa"/>
            <w:shd w:val="clear" w:color="auto" w:fill="D5DCE4"/>
          </w:tcPr>
          <w:p w14:paraId="77FDCC95" w14:textId="5F69027A"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2022</w:t>
            </w:r>
          </w:p>
        </w:tc>
        <w:tc>
          <w:tcPr>
            <w:tcW w:w="702" w:type="dxa"/>
            <w:shd w:val="clear" w:color="auto" w:fill="D5DCE4"/>
          </w:tcPr>
          <w:p w14:paraId="00727099" w14:textId="11AD7BE2"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2023</w:t>
            </w:r>
          </w:p>
        </w:tc>
      </w:tr>
      <w:tr w:rsidR="006A0860" w:rsidRPr="00F04C53" w14:paraId="2F9221E0" w14:textId="77777777" w:rsidTr="006A0860">
        <w:trPr>
          <w:trHeight w:val="736"/>
          <w:jc w:val="center"/>
        </w:trPr>
        <w:tc>
          <w:tcPr>
            <w:tcW w:w="1857" w:type="dxa"/>
            <w:shd w:val="clear" w:color="auto" w:fill="D5DCE4"/>
          </w:tcPr>
          <w:p w14:paraId="2B4A9072"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Total physical revenues</w:t>
            </w:r>
          </w:p>
        </w:tc>
        <w:tc>
          <w:tcPr>
            <w:tcW w:w="778" w:type="dxa"/>
          </w:tcPr>
          <w:p w14:paraId="66944086" w14:textId="3A55929F"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22.2</w:t>
            </w:r>
          </w:p>
        </w:tc>
        <w:tc>
          <w:tcPr>
            <w:tcW w:w="779" w:type="dxa"/>
          </w:tcPr>
          <w:p w14:paraId="607C5016" w14:textId="04B4B094"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17.9</w:t>
            </w:r>
          </w:p>
        </w:tc>
        <w:tc>
          <w:tcPr>
            <w:tcW w:w="781" w:type="dxa"/>
          </w:tcPr>
          <w:p w14:paraId="1C193C0E" w14:textId="4BEE2D02"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9.5</w:t>
            </w:r>
          </w:p>
        </w:tc>
        <w:tc>
          <w:tcPr>
            <w:tcW w:w="661" w:type="dxa"/>
          </w:tcPr>
          <w:p w14:paraId="0F219352" w14:textId="08656F98"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6.8</w:t>
            </w:r>
          </w:p>
        </w:tc>
        <w:tc>
          <w:tcPr>
            <w:tcW w:w="815" w:type="dxa"/>
          </w:tcPr>
          <w:p w14:paraId="161D670A" w14:textId="30C9F212"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5.3</w:t>
            </w:r>
          </w:p>
        </w:tc>
        <w:tc>
          <w:tcPr>
            <w:tcW w:w="702" w:type="dxa"/>
          </w:tcPr>
          <w:p w14:paraId="7F483E9F" w14:textId="7B7AD65D"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4.</w:t>
            </w:r>
            <w:r w:rsidR="00A76E79" w:rsidRPr="00F04C53">
              <w:rPr>
                <w:rFonts w:ascii="Arial" w:eastAsia="Arial" w:hAnsi="Arial" w:cs="Arial"/>
                <w:sz w:val="20"/>
                <w:szCs w:val="20"/>
                <w:lang w:val="en-CA"/>
              </w:rPr>
              <w:t>6</w:t>
            </w:r>
          </w:p>
        </w:tc>
        <w:tc>
          <w:tcPr>
            <w:tcW w:w="702" w:type="dxa"/>
          </w:tcPr>
          <w:p w14:paraId="1197607C" w14:textId="068272B8"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3.9</w:t>
            </w:r>
          </w:p>
        </w:tc>
        <w:tc>
          <w:tcPr>
            <w:tcW w:w="702" w:type="dxa"/>
          </w:tcPr>
          <w:p w14:paraId="775D3F26" w14:textId="05CE8316"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4.</w:t>
            </w:r>
            <w:r w:rsidR="00A76E79" w:rsidRPr="00F04C53">
              <w:rPr>
                <w:rFonts w:ascii="Arial" w:eastAsia="Arial" w:hAnsi="Arial" w:cs="Arial"/>
                <w:sz w:val="20"/>
                <w:szCs w:val="20"/>
                <w:lang w:val="en-CA"/>
              </w:rPr>
              <w:t>3</w:t>
            </w:r>
          </w:p>
        </w:tc>
        <w:tc>
          <w:tcPr>
            <w:tcW w:w="702" w:type="dxa"/>
          </w:tcPr>
          <w:p w14:paraId="4F4C874B" w14:textId="7A020FCC"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4.</w:t>
            </w:r>
            <w:r w:rsidR="00A76E79" w:rsidRPr="00F04C53">
              <w:rPr>
                <w:rFonts w:ascii="Arial" w:eastAsia="Arial" w:hAnsi="Arial" w:cs="Arial"/>
                <w:sz w:val="20"/>
                <w:szCs w:val="20"/>
                <w:lang w:val="en-CA"/>
              </w:rPr>
              <w:t>5</w:t>
            </w:r>
          </w:p>
        </w:tc>
        <w:tc>
          <w:tcPr>
            <w:tcW w:w="702" w:type="dxa"/>
          </w:tcPr>
          <w:p w14:paraId="0106B198" w14:textId="02AF9F5B" w:rsidR="006A0860" w:rsidRPr="00F04C53" w:rsidRDefault="00A76E79" w:rsidP="006A0860">
            <w:pPr>
              <w:jc w:val="both"/>
              <w:rPr>
                <w:rFonts w:ascii="Arial" w:eastAsia="Arial" w:hAnsi="Arial" w:cs="Arial"/>
                <w:sz w:val="20"/>
                <w:szCs w:val="20"/>
                <w:lang w:val="en-CA"/>
              </w:rPr>
            </w:pPr>
            <w:r w:rsidRPr="00F04C53">
              <w:rPr>
                <w:rFonts w:ascii="Arial" w:eastAsia="Arial" w:hAnsi="Arial" w:cs="Arial"/>
                <w:sz w:val="20"/>
                <w:szCs w:val="20"/>
                <w:lang w:val="en-CA"/>
              </w:rPr>
              <w:t>5.1</w:t>
            </w:r>
          </w:p>
        </w:tc>
      </w:tr>
      <w:tr w:rsidR="006A0860" w:rsidRPr="00F04C53" w14:paraId="5E4C025E" w14:textId="77777777" w:rsidTr="006A0860">
        <w:trPr>
          <w:trHeight w:val="478"/>
          <w:jc w:val="center"/>
        </w:trPr>
        <w:tc>
          <w:tcPr>
            <w:tcW w:w="1857" w:type="dxa"/>
            <w:shd w:val="clear" w:color="auto" w:fill="D5DCE4"/>
          </w:tcPr>
          <w:p w14:paraId="142A5BA1"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Total streaming</w:t>
            </w:r>
          </w:p>
        </w:tc>
        <w:tc>
          <w:tcPr>
            <w:tcW w:w="778" w:type="dxa"/>
          </w:tcPr>
          <w:p w14:paraId="3809ED61"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6FE47D6C"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81" w:type="dxa"/>
          </w:tcPr>
          <w:p w14:paraId="2BAC9A9C"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0.4</w:t>
            </w:r>
          </w:p>
        </w:tc>
        <w:tc>
          <w:tcPr>
            <w:tcW w:w="661" w:type="dxa"/>
          </w:tcPr>
          <w:p w14:paraId="17B42E9D"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0.9</w:t>
            </w:r>
          </w:p>
        </w:tc>
        <w:tc>
          <w:tcPr>
            <w:tcW w:w="815" w:type="dxa"/>
          </w:tcPr>
          <w:p w14:paraId="766CEBA3"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1.8</w:t>
            </w:r>
          </w:p>
        </w:tc>
        <w:tc>
          <w:tcPr>
            <w:tcW w:w="702" w:type="dxa"/>
          </w:tcPr>
          <w:p w14:paraId="05205375" w14:textId="5F43D1B3"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6.2</w:t>
            </w:r>
          </w:p>
        </w:tc>
        <w:tc>
          <w:tcPr>
            <w:tcW w:w="702" w:type="dxa"/>
          </w:tcPr>
          <w:p w14:paraId="442E5F88" w14:textId="47D0966B"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10.7</w:t>
            </w:r>
          </w:p>
        </w:tc>
        <w:tc>
          <w:tcPr>
            <w:tcW w:w="702" w:type="dxa"/>
          </w:tcPr>
          <w:p w14:paraId="4213CECE" w14:textId="28277145"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15.7</w:t>
            </w:r>
          </w:p>
        </w:tc>
        <w:tc>
          <w:tcPr>
            <w:tcW w:w="702" w:type="dxa"/>
          </w:tcPr>
          <w:p w14:paraId="0CF18BFB" w14:textId="0C313B36"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17.5</w:t>
            </w:r>
          </w:p>
        </w:tc>
        <w:tc>
          <w:tcPr>
            <w:tcW w:w="702" w:type="dxa"/>
          </w:tcPr>
          <w:p w14:paraId="4B98CBAB" w14:textId="0AE69CD5" w:rsidR="006A0860" w:rsidRPr="00F04C53" w:rsidRDefault="00A76E79" w:rsidP="006A0860">
            <w:pPr>
              <w:jc w:val="both"/>
              <w:rPr>
                <w:rFonts w:ascii="Arial" w:eastAsia="Arial" w:hAnsi="Arial" w:cs="Arial"/>
                <w:sz w:val="20"/>
                <w:szCs w:val="20"/>
                <w:lang w:val="en-CA"/>
              </w:rPr>
            </w:pPr>
            <w:r w:rsidRPr="00F04C53">
              <w:rPr>
                <w:rFonts w:ascii="Arial" w:eastAsia="Arial" w:hAnsi="Arial" w:cs="Arial"/>
                <w:sz w:val="20"/>
                <w:szCs w:val="20"/>
                <w:lang w:val="en-CA"/>
              </w:rPr>
              <w:t>19.3</w:t>
            </w:r>
          </w:p>
        </w:tc>
      </w:tr>
      <w:tr w:rsidR="006A0860" w:rsidRPr="00F04C53" w14:paraId="3A8984DE" w14:textId="77777777" w:rsidTr="006A0860">
        <w:trPr>
          <w:trHeight w:val="532"/>
          <w:jc w:val="center"/>
        </w:trPr>
        <w:tc>
          <w:tcPr>
            <w:tcW w:w="1857" w:type="dxa"/>
            <w:shd w:val="clear" w:color="auto" w:fill="D5DCE4"/>
          </w:tcPr>
          <w:p w14:paraId="2503B00F"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Downloads and other digital revenues</w:t>
            </w:r>
          </w:p>
        </w:tc>
        <w:tc>
          <w:tcPr>
            <w:tcW w:w="778" w:type="dxa"/>
          </w:tcPr>
          <w:p w14:paraId="1985F61C"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433F4EAA"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0.3</w:t>
            </w:r>
          </w:p>
        </w:tc>
        <w:tc>
          <w:tcPr>
            <w:tcW w:w="781" w:type="dxa"/>
          </w:tcPr>
          <w:p w14:paraId="6EB995F7"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3.5</w:t>
            </w:r>
          </w:p>
        </w:tc>
        <w:tc>
          <w:tcPr>
            <w:tcW w:w="661" w:type="dxa"/>
          </w:tcPr>
          <w:p w14:paraId="60BB0623"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4.2</w:t>
            </w:r>
          </w:p>
        </w:tc>
        <w:tc>
          <w:tcPr>
            <w:tcW w:w="815" w:type="dxa"/>
          </w:tcPr>
          <w:p w14:paraId="01E74BA7"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3.9</w:t>
            </w:r>
          </w:p>
        </w:tc>
        <w:tc>
          <w:tcPr>
            <w:tcW w:w="702" w:type="dxa"/>
          </w:tcPr>
          <w:p w14:paraId="27FF67A5" w14:textId="57B9439C"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2.5</w:t>
            </w:r>
          </w:p>
        </w:tc>
        <w:tc>
          <w:tcPr>
            <w:tcW w:w="702" w:type="dxa"/>
          </w:tcPr>
          <w:p w14:paraId="0C37E5AF" w14:textId="79638BF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1.4</w:t>
            </w:r>
          </w:p>
        </w:tc>
        <w:tc>
          <w:tcPr>
            <w:tcW w:w="702" w:type="dxa"/>
          </w:tcPr>
          <w:p w14:paraId="57731BA7" w14:textId="7AFD69D4"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1.1</w:t>
            </w:r>
          </w:p>
        </w:tc>
        <w:tc>
          <w:tcPr>
            <w:tcW w:w="702" w:type="dxa"/>
          </w:tcPr>
          <w:p w14:paraId="75F8AE88" w14:textId="66D1E7D1"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0.9</w:t>
            </w:r>
          </w:p>
        </w:tc>
        <w:tc>
          <w:tcPr>
            <w:tcW w:w="702" w:type="dxa"/>
          </w:tcPr>
          <w:p w14:paraId="214DFE77" w14:textId="5B1C9B99" w:rsidR="006A0860" w:rsidRPr="00F04C53" w:rsidRDefault="00A76E79" w:rsidP="006A0860">
            <w:pPr>
              <w:jc w:val="both"/>
              <w:rPr>
                <w:rFonts w:ascii="Arial" w:eastAsia="Arial" w:hAnsi="Arial" w:cs="Arial"/>
                <w:sz w:val="20"/>
                <w:szCs w:val="20"/>
                <w:lang w:val="en-CA"/>
              </w:rPr>
            </w:pPr>
            <w:r w:rsidRPr="00F04C53">
              <w:rPr>
                <w:rFonts w:ascii="Arial" w:eastAsia="Arial" w:hAnsi="Arial" w:cs="Arial"/>
                <w:sz w:val="20"/>
                <w:szCs w:val="20"/>
                <w:lang w:val="en-CA"/>
              </w:rPr>
              <w:t>0.9</w:t>
            </w:r>
          </w:p>
        </w:tc>
      </w:tr>
      <w:tr w:rsidR="006A0860" w:rsidRPr="00F04C53" w14:paraId="47C26EB4" w14:textId="77777777" w:rsidTr="006A0860">
        <w:trPr>
          <w:trHeight w:val="387"/>
          <w:jc w:val="center"/>
        </w:trPr>
        <w:tc>
          <w:tcPr>
            <w:tcW w:w="1857" w:type="dxa"/>
            <w:shd w:val="clear" w:color="auto" w:fill="D5DCE4"/>
          </w:tcPr>
          <w:p w14:paraId="48BAFE1B"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Performance rights</w:t>
            </w:r>
          </w:p>
        </w:tc>
        <w:tc>
          <w:tcPr>
            <w:tcW w:w="778" w:type="dxa"/>
          </w:tcPr>
          <w:p w14:paraId="48B33A42"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1ECED7C3" w14:textId="0E68AD01"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0.9</w:t>
            </w:r>
          </w:p>
        </w:tc>
        <w:tc>
          <w:tcPr>
            <w:tcW w:w="781" w:type="dxa"/>
          </w:tcPr>
          <w:p w14:paraId="003808E5"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1.2</w:t>
            </w:r>
          </w:p>
        </w:tc>
        <w:tc>
          <w:tcPr>
            <w:tcW w:w="661" w:type="dxa"/>
          </w:tcPr>
          <w:p w14:paraId="00B9DD63"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1.4</w:t>
            </w:r>
          </w:p>
        </w:tc>
        <w:tc>
          <w:tcPr>
            <w:tcW w:w="815" w:type="dxa"/>
          </w:tcPr>
          <w:p w14:paraId="756EC82D"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1.7</w:t>
            </w:r>
          </w:p>
        </w:tc>
        <w:tc>
          <w:tcPr>
            <w:tcW w:w="702" w:type="dxa"/>
          </w:tcPr>
          <w:p w14:paraId="7213F370" w14:textId="1DB73C3B"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2.2</w:t>
            </w:r>
          </w:p>
        </w:tc>
        <w:tc>
          <w:tcPr>
            <w:tcW w:w="702" w:type="dxa"/>
          </w:tcPr>
          <w:p w14:paraId="026F0661" w14:textId="198E6E3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2.4</w:t>
            </w:r>
          </w:p>
        </w:tc>
        <w:tc>
          <w:tcPr>
            <w:tcW w:w="702" w:type="dxa"/>
          </w:tcPr>
          <w:p w14:paraId="78545FEC" w14:textId="0826F21A"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2.3</w:t>
            </w:r>
          </w:p>
        </w:tc>
        <w:tc>
          <w:tcPr>
            <w:tcW w:w="702" w:type="dxa"/>
          </w:tcPr>
          <w:p w14:paraId="57F0D2C7" w14:textId="592272CF"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2.5</w:t>
            </w:r>
          </w:p>
        </w:tc>
        <w:tc>
          <w:tcPr>
            <w:tcW w:w="702" w:type="dxa"/>
          </w:tcPr>
          <w:p w14:paraId="36024AD1" w14:textId="4225D7F7" w:rsidR="006A0860" w:rsidRPr="00F04C53" w:rsidRDefault="00A76E79" w:rsidP="006A0860">
            <w:pPr>
              <w:jc w:val="both"/>
              <w:rPr>
                <w:rFonts w:ascii="Arial" w:eastAsia="Arial" w:hAnsi="Arial" w:cs="Arial"/>
                <w:sz w:val="20"/>
                <w:szCs w:val="20"/>
                <w:lang w:val="en-CA"/>
              </w:rPr>
            </w:pPr>
            <w:r w:rsidRPr="00F04C53">
              <w:rPr>
                <w:rFonts w:ascii="Arial" w:eastAsia="Arial" w:hAnsi="Arial" w:cs="Arial"/>
                <w:sz w:val="20"/>
                <w:szCs w:val="20"/>
                <w:lang w:val="en-CA"/>
              </w:rPr>
              <w:t>2.7</w:t>
            </w:r>
          </w:p>
        </w:tc>
      </w:tr>
      <w:tr w:rsidR="006A0860" w:rsidRPr="00F04C53" w14:paraId="7497F7EA" w14:textId="77777777" w:rsidTr="006A0860">
        <w:trPr>
          <w:trHeight w:val="587"/>
          <w:jc w:val="center"/>
        </w:trPr>
        <w:tc>
          <w:tcPr>
            <w:tcW w:w="1857" w:type="dxa"/>
            <w:shd w:val="clear" w:color="auto" w:fill="D5DCE4"/>
          </w:tcPr>
          <w:p w14:paraId="091DD898" w14:textId="2E74DA23"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Synchroni</w:t>
            </w:r>
            <w:r w:rsidR="00766B2F">
              <w:rPr>
                <w:rFonts w:ascii="Arial" w:eastAsia="Arial" w:hAnsi="Arial" w:cs="Arial"/>
                <w:sz w:val="20"/>
                <w:szCs w:val="20"/>
                <w:lang w:val="en-CA"/>
              </w:rPr>
              <w:t>z</w:t>
            </w:r>
            <w:r w:rsidRPr="00F04C53">
              <w:rPr>
                <w:rFonts w:ascii="Arial" w:eastAsia="Arial" w:hAnsi="Arial" w:cs="Arial"/>
                <w:sz w:val="20"/>
                <w:szCs w:val="20"/>
                <w:lang w:val="en-CA"/>
              </w:rPr>
              <w:t>ation revenue</w:t>
            </w:r>
          </w:p>
        </w:tc>
        <w:tc>
          <w:tcPr>
            <w:tcW w:w="778" w:type="dxa"/>
          </w:tcPr>
          <w:p w14:paraId="590AF398"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79" w:type="dxa"/>
          </w:tcPr>
          <w:p w14:paraId="142FE6C9"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781" w:type="dxa"/>
          </w:tcPr>
          <w:p w14:paraId="0CB57B53"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w:t>
            </w:r>
          </w:p>
        </w:tc>
        <w:tc>
          <w:tcPr>
            <w:tcW w:w="661" w:type="dxa"/>
          </w:tcPr>
          <w:p w14:paraId="2948CB83"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0.3</w:t>
            </w:r>
          </w:p>
        </w:tc>
        <w:tc>
          <w:tcPr>
            <w:tcW w:w="815" w:type="dxa"/>
          </w:tcPr>
          <w:p w14:paraId="68B42872" w14:textId="7777777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0.3</w:t>
            </w:r>
          </w:p>
        </w:tc>
        <w:tc>
          <w:tcPr>
            <w:tcW w:w="702" w:type="dxa"/>
          </w:tcPr>
          <w:p w14:paraId="5489C467" w14:textId="199B653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0.4</w:t>
            </w:r>
          </w:p>
        </w:tc>
        <w:tc>
          <w:tcPr>
            <w:tcW w:w="702" w:type="dxa"/>
          </w:tcPr>
          <w:p w14:paraId="44407C82" w14:textId="102729EF"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w:t>
            </w:r>
            <w:r w:rsidR="00A76E79" w:rsidRPr="00F04C53">
              <w:rPr>
                <w:rFonts w:ascii="Arial" w:eastAsia="Arial" w:hAnsi="Arial" w:cs="Arial"/>
                <w:sz w:val="20"/>
                <w:szCs w:val="20"/>
                <w:lang w:val="en-CA"/>
              </w:rPr>
              <w:t>4</w:t>
            </w:r>
          </w:p>
        </w:tc>
        <w:tc>
          <w:tcPr>
            <w:tcW w:w="702" w:type="dxa"/>
          </w:tcPr>
          <w:p w14:paraId="78F55FF0" w14:textId="3D8ECE9D"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0.5</w:t>
            </w:r>
          </w:p>
        </w:tc>
        <w:tc>
          <w:tcPr>
            <w:tcW w:w="702" w:type="dxa"/>
          </w:tcPr>
          <w:p w14:paraId="786E7CC9" w14:textId="2A99451D"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0.6</w:t>
            </w:r>
          </w:p>
        </w:tc>
        <w:tc>
          <w:tcPr>
            <w:tcW w:w="702" w:type="dxa"/>
          </w:tcPr>
          <w:p w14:paraId="62807EAB" w14:textId="69E9D1DB" w:rsidR="006A0860" w:rsidRPr="00F04C53" w:rsidRDefault="00A76E79" w:rsidP="006A0860">
            <w:pPr>
              <w:jc w:val="both"/>
              <w:rPr>
                <w:rFonts w:ascii="Arial" w:eastAsia="Arial" w:hAnsi="Arial" w:cs="Arial"/>
                <w:sz w:val="20"/>
                <w:szCs w:val="20"/>
                <w:lang w:val="en-CA"/>
              </w:rPr>
            </w:pPr>
            <w:r w:rsidRPr="00F04C53">
              <w:rPr>
                <w:rFonts w:ascii="Arial" w:eastAsia="Arial" w:hAnsi="Arial" w:cs="Arial"/>
                <w:sz w:val="20"/>
                <w:szCs w:val="20"/>
                <w:lang w:val="en-CA"/>
              </w:rPr>
              <w:t>0.6</w:t>
            </w:r>
          </w:p>
        </w:tc>
      </w:tr>
      <w:tr w:rsidR="006A0860" w:rsidRPr="00F04C53" w14:paraId="7EEC248D" w14:textId="77777777" w:rsidTr="006A0860">
        <w:trPr>
          <w:trHeight w:val="387"/>
          <w:jc w:val="center"/>
        </w:trPr>
        <w:tc>
          <w:tcPr>
            <w:tcW w:w="1857" w:type="dxa"/>
            <w:shd w:val="clear" w:color="auto" w:fill="D5DCE4"/>
          </w:tcPr>
          <w:p w14:paraId="050ECCF7" w14:textId="77777777" w:rsidR="006A0860" w:rsidRPr="00F04C53" w:rsidRDefault="006A0860" w:rsidP="006A0860">
            <w:pPr>
              <w:jc w:val="both"/>
              <w:rPr>
                <w:rFonts w:ascii="Arial" w:eastAsia="Arial" w:hAnsi="Arial" w:cs="Arial"/>
                <w:b/>
                <w:sz w:val="20"/>
                <w:szCs w:val="20"/>
                <w:lang w:val="en-CA"/>
              </w:rPr>
            </w:pPr>
            <w:r w:rsidRPr="00F04C53">
              <w:rPr>
                <w:rFonts w:ascii="Arial" w:eastAsia="Arial" w:hAnsi="Arial" w:cs="Arial"/>
                <w:b/>
                <w:sz w:val="20"/>
                <w:szCs w:val="20"/>
                <w:lang w:val="en-CA"/>
              </w:rPr>
              <w:lastRenderedPageBreak/>
              <w:t>Total revenues in USD</w:t>
            </w:r>
          </w:p>
        </w:tc>
        <w:tc>
          <w:tcPr>
            <w:tcW w:w="778" w:type="dxa"/>
          </w:tcPr>
          <w:p w14:paraId="23D9C413" w14:textId="509A2691"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22.2</w:t>
            </w:r>
          </w:p>
        </w:tc>
        <w:tc>
          <w:tcPr>
            <w:tcW w:w="779" w:type="dxa"/>
          </w:tcPr>
          <w:p w14:paraId="7443C40C" w14:textId="053E0E05"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19.1</w:t>
            </w:r>
          </w:p>
        </w:tc>
        <w:tc>
          <w:tcPr>
            <w:tcW w:w="781" w:type="dxa"/>
          </w:tcPr>
          <w:p w14:paraId="66C4F492" w14:textId="69CABABA"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14.5</w:t>
            </w:r>
          </w:p>
        </w:tc>
        <w:tc>
          <w:tcPr>
            <w:tcW w:w="661" w:type="dxa"/>
          </w:tcPr>
          <w:p w14:paraId="2CE77AC1" w14:textId="05148A7B"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13.6</w:t>
            </w:r>
          </w:p>
        </w:tc>
        <w:tc>
          <w:tcPr>
            <w:tcW w:w="815" w:type="dxa"/>
          </w:tcPr>
          <w:p w14:paraId="475CFF4D" w14:textId="2E447A47"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13.0</w:t>
            </w:r>
          </w:p>
        </w:tc>
        <w:tc>
          <w:tcPr>
            <w:tcW w:w="702" w:type="dxa"/>
          </w:tcPr>
          <w:p w14:paraId="025A95D7" w14:textId="40083E8A"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15.</w:t>
            </w:r>
            <w:r w:rsidR="00A76E79" w:rsidRPr="00F04C53">
              <w:rPr>
                <w:rFonts w:ascii="Arial" w:eastAsia="Arial" w:hAnsi="Arial" w:cs="Arial"/>
                <w:sz w:val="20"/>
                <w:szCs w:val="20"/>
                <w:lang w:val="en-CA"/>
              </w:rPr>
              <w:t>8</w:t>
            </w:r>
          </w:p>
        </w:tc>
        <w:tc>
          <w:tcPr>
            <w:tcW w:w="702" w:type="dxa"/>
          </w:tcPr>
          <w:p w14:paraId="68330FCD" w14:textId="5C9CB46E"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18.</w:t>
            </w:r>
            <w:r w:rsidR="00A76E79" w:rsidRPr="00F04C53">
              <w:rPr>
                <w:rFonts w:ascii="Arial" w:eastAsia="Arial" w:hAnsi="Arial" w:cs="Arial"/>
                <w:sz w:val="20"/>
                <w:szCs w:val="20"/>
                <w:lang w:val="en-CA"/>
              </w:rPr>
              <w:t>8</w:t>
            </w:r>
          </w:p>
        </w:tc>
        <w:tc>
          <w:tcPr>
            <w:tcW w:w="702" w:type="dxa"/>
          </w:tcPr>
          <w:p w14:paraId="09F21C3F" w14:textId="10E32C52"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w:t>
            </w:r>
            <w:r w:rsidR="00A76E79" w:rsidRPr="00F04C53">
              <w:rPr>
                <w:rFonts w:ascii="Arial" w:eastAsia="Arial" w:hAnsi="Arial" w:cs="Arial"/>
                <w:sz w:val="20"/>
                <w:szCs w:val="20"/>
                <w:lang w:val="en-CA"/>
              </w:rPr>
              <w:t>3.8</w:t>
            </w:r>
          </w:p>
        </w:tc>
        <w:tc>
          <w:tcPr>
            <w:tcW w:w="702" w:type="dxa"/>
          </w:tcPr>
          <w:p w14:paraId="28324F2A" w14:textId="73F6180C" w:rsidR="006A0860" w:rsidRPr="00F04C53" w:rsidRDefault="006A0860" w:rsidP="006A0860">
            <w:pPr>
              <w:jc w:val="both"/>
              <w:rPr>
                <w:rFonts w:ascii="Arial" w:eastAsia="Arial" w:hAnsi="Arial" w:cs="Arial"/>
                <w:sz w:val="20"/>
                <w:szCs w:val="20"/>
                <w:lang w:val="en-CA"/>
              </w:rPr>
            </w:pPr>
            <w:r w:rsidRPr="00F04C53">
              <w:rPr>
                <w:rFonts w:ascii="Arial" w:eastAsia="Arial" w:hAnsi="Arial" w:cs="Arial"/>
                <w:sz w:val="20"/>
                <w:szCs w:val="20"/>
                <w:lang w:val="en-CA"/>
              </w:rPr>
              <w:t>26.</w:t>
            </w:r>
            <w:r w:rsidR="00A76E79" w:rsidRPr="00F04C53">
              <w:rPr>
                <w:rFonts w:ascii="Arial" w:eastAsia="Arial" w:hAnsi="Arial" w:cs="Arial"/>
                <w:sz w:val="20"/>
                <w:szCs w:val="20"/>
                <w:lang w:val="en-CA"/>
              </w:rPr>
              <w:t>0</w:t>
            </w:r>
          </w:p>
        </w:tc>
        <w:tc>
          <w:tcPr>
            <w:tcW w:w="702" w:type="dxa"/>
          </w:tcPr>
          <w:p w14:paraId="55BB07DC" w14:textId="087D095C" w:rsidR="006A0860" w:rsidRPr="00F04C53" w:rsidRDefault="00A76E79" w:rsidP="006A0860">
            <w:pPr>
              <w:jc w:val="both"/>
              <w:rPr>
                <w:rFonts w:ascii="Arial" w:eastAsia="Arial" w:hAnsi="Arial" w:cs="Arial"/>
                <w:sz w:val="20"/>
                <w:szCs w:val="20"/>
                <w:lang w:val="en-CA"/>
              </w:rPr>
            </w:pPr>
            <w:r w:rsidRPr="00F04C53">
              <w:rPr>
                <w:rFonts w:ascii="Arial" w:eastAsia="Arial" w:hAnsi="Arial" w:cs="Arial"/>
                <w:sz w:val="20"/>
                <w:szCs w:val="20"/>
                <w:lang w:val="en-CA"/>
              </w:rPr>
              <w:t>28.6</w:t>
            </w:r>
          </w:p>
        </w:tc>
      </w:tr>
    </w:tbl>
    <w:p w14:paraId="7BE76F26" w14:textId="0D914FC9" w:rsidR="00D57E22" w:rsidRPr="00F04C53" w:rsidRDefault="00FD4196" w:rsidP="009D076C">
      <w:pPr>
        <w:spacing w:before="288" w:after="288" w:line="276" w:lineRule="auto"/>
        <w:ind w:left="426" w:right="714"/>
        <w:jc w:val="both"/>
        <w:rPr>
          <w:rFonts w:ascii="Arial" w:eastAsia="Arial" w:hAnsi="Arial" w:cs="Arial"/>
          <w:i/>
          <w:sz w:val="22"/>
          <w:szCs w:val="22"/>
          <w:lang w:val="en-CA"/>
        </w:rPr>
      </w:pPr>
      <w:r w:rsidRPr="00F04C53">
        <w:rPr>
          <w:rFonts w:ascii="Arial" w:eastAsia="Arial" w:hAnsi="Arial" w:cs="Arial"/>
          <w:i/>
          <w:sz w:val="22"/>
          <w:szCs w:val="22"/>
          <w:lang w:val="en-CA"/>
        </w:rPr>
        <w:t>New partnerships and business plans</w:t>
      </w:r>
    </w:p>
    <w:p w14:paraId="76B7B177" w14:textId="6B0404EE" w:rsidR="000C2EB4" w:rsidRPr="00F04C53" w:rsidRDefault="000C2EB4" w:rsidP="000C2EB4">
      <w:pPr>
        <w:spacing w:before="288" w:after="288" w:line="276" w:lineRule="auto"/>
        <w:ind w:left="426" w:right="714"/>
        <w:jc w:val="both"/>
        <w:rPr>
          <w:rFonts w:ascii="Arial" w:eastAsia="Arial" w:hAnsi="Arial" w:cs="Arial"/>
          <w:iCs/>
          <w:sz w:val="22"/>
          <w:szCs w:val="22"/>
          <w:lang w:val="en-CA"/>
        </w:rPr>
      </w:pPr>
      <w:r w:rsidRPr="00F04C53">
        <w:rPr>
          <w:rFonts w:ascii="Arial" w:eastAsia="Arial" w:hAnsi="Arial" w:cs="Arial"/>
          <w:iCs/>
          <w:sz w:val="22"/>
          <w:szCs w:val="22"/>
          <w:lang w:val="en-CA"/>
        </w:rPr>
        <w:t xml:space="preserve">End </w:t>
      </w:r>
      <w:r w:rsidR="00766B2F">
        <w:rPr>
          <w:rFonts w:ascii="Arial" w:eastAsia="Arial" w:hAnsi="Arial" w:cs="Arial"/>
          <w:iCs/>
          <w:sz w:val="22"/>
          <w:szCs w:val="22"/>
          <w:lang w:val="en-CA"/>
        </w:rPr>
        <w:t xml:space="preserve">of </w:t>
      </w:r>
      <w:r w:rsidRPr="00F04C53">
        <w:rPr>
          <w:rFonts w:ascii="Arial" w:eastAsia="Arial" w:hAnsi="Arial" w:cs="Arial"/>
          <w:iCs/>
          <w:sz w:val="22"/>
          <w:szCs w:val="22"/>
          <w:lang w:val="en-CA"/>
        </w:rPr>
        <w:t xml:space="preserve">February, </w:t>
      </w:r>
      <w:hyperlink r:id="rId26" w:history="1">
        <w:r w:rsidRPr="00F04C53">
          <w:rPr>
            <w:rStyle w:val="Hyperlink"/>
            <w:rFonts w:ascii="Arial" w:eastAsia="Arial" w:hAnsi="Arial" w:cs="Arial"/>
            <w:iCs/>
            <w:sz w:val="22"/>
            <w:szCs w:val="22"/>
            <w:lang w:val="en-CA"/>
          </w:rPr>
          <w:t>BBC Studios</w:t>
        </w:r>
      </w:hyperlink>
      <w:r w:rsidRPr="00F04C53">
        <w:rPr>
          <w:rFonts w:ascii="Arial" w:eastAsia="Arial" w:hAnsi="Arial" w:cs="Arial"/>
          <w:iCs/>
          <w:sz w:val="22"/>
          <w:szCs w:val="22"/>
          <w:lang w:val="en-CA"/>
        </w:rPr>
        <w:t xml:space="preserve"> has bought British broadcaster ITV’s 50% stake in streamer BritBox International for 322 million USD. The deal will give BBC studios full ownership of the BritBox streaming platform. As </w:t>
      </w:r>
      <w:hyperlink r:id="rId27" w:history="1">
        <w:r w:rsidRPr="00F04C53">
          <w:rPr>
            <w:rStyle w:val="Hyperlink"/>
            <w:rFonts w:ascii="Arial" w:eastAsia="Arial" w:hAnsi="Arial" w:cs="Arial"/>
            <w:iCs/>
            <w:sz w:val="22"/>
            <w:szCs w:val="22"/>
            <w:lang w:val="en-CA"/>
          </w:rPr>
          <w:t>The Hollywood Reporter</w:t>
        </w:r>
      </w:hyperlink>
      <w:r w:rsidRPr="00F04C53">
        <w:rPr>
          <w:rFonts w:ascii="Arial" w:eastAsia="Arial" w:hAnsi="Arial" w:cs="Arial"/>
          <w:iCs/>
          <w:sz w:val="22"/>
          <w:szCs w:val="22"/>
          <w:lang w:val="en-CA"/>
        </w:rPr>
        <w:t xml:space="preserve"> mentioned, “BritBox will become part of the company’s Global Media and Streaming division, complementing its expanding portfolio of digital and direct-to-consumer services that includes BBC.com, BBC Select, the BBC’s premium ad-free doc streaming service in North America and BBC Podcast Premium, an audio service available in more than 160 countries”. BritBox was founded in 2017 as </w:t>
      </w:r>
      <w:r w:rsidR="004738B1">
        <w:rPr>
          <w:rFonts w:ascii="Arial" w:eastAsia="Arial" w:hAnsi="Arial" w:cs="Arial"/>
          <w:iCs/>
          <w:sz w:val="22"/>
          <w:szCs w:val="22"/>
          <w:lang w:val="en-CA"/>
        </w:rPr>
        <w:t xml:space="preserve">a </w:t>
      </w:r>
      <w:r w:rsidRPr="00F04C53">
        <w:rPr>
          <w:rFonts w:ascii="Arial" w:eastAsia="Arial" w:hAnsi="Arial" w:cs="Arial"/>
          <w:iCs/>
          <w:sz w:val="22"/>
          <w:szCs w:val="22"/>
          <w:lang w:val="en-CA"/>
        </w:rPr>
        <w:t>joint venture between BBC Studios, which is the commercial arm of the British broadcaster and ITV.</w:t>
      </w:r>
    </w:p>
    <w:p w14:paraId="698D6071" w14:textId="3A59223B" w:rsidR="003B7751" w:rsidRPr="00F04C53" w:rsidRDefault="001936FD" w:rsidP="00FD0434">
      <w:pPr>
        <w:spacing w:before="288" w:after="288" w:line="276" w:lineRule="auto"/>
        <w:ind w:left="426" w:right="714"/>
        <w:jc w:val="both"/>
        <w:rPr>
          <w:rFonts w:ascii="Arial" w:eastAsia="Arial" w:hAnsi="Arial" w:cs="Arial"/>
          <w:iCs/>
          <w:sz w:val="22"/>
          <w:szCs w:val="22"/>
          <w:lang w:val="en-CA"/>
        </w:rPr>
      </w:pPr>
      <w:r w:rsidRPr="00F04C53">
        <w:rPr>
          <w:rFonts w:ascii="Arial" w:eastAsia="Arial" w:hAnsi="Arial" w:cs="Arial"/>
          <w:iCs/>
          <w:sz w:val="22"/>
          <w:szCs w:val="22"/>
          <w:lang w:val="en-CA"/>
        </w:rPr>
        <w:t xml:space="preserve">End </w:t>
      </w:r>
      <w:r w:rsidR="008B64F8">
        <w:rPr>
          <w:rFonts w:ascii="Arial" w:eastAsia="Arial" w:hAnsi="Arial" w:cs="Arial"/>
          <w:iCs/>
          <w:sz w:val="22"/>
          <w:szCs w:val="22"/>
          <w:lang w:val="en-CA"/>
        </w:rPr>
        <w:t xml:space="preserve">of </w:t>
      </w:r>
      <w:r w:rsidRPr="00F04C53">
        <w:rPr>
          <w:rFonts w:ascii="Arial" w:eastAsia="Arial" w:hAnsi="Arial" w:cs="Arial"/>
          <w:iCs/>
          <w:sz w:val="22"/>
          <w:szCs w:val="22"/>
          <w:lang w:val="en-CA"/>
        </w:rPr>
        <w:t xml:space="preserve">March, the </w:t>
      </w:r>
      <w:hyperlink r:id="rId28" w:history="1">
        <w:r w:rsidRPr="00F04C53">
          <w:rPr>
            <w:rStyle w:val="Hyperlink"/>
            <w:rFonts w:ascii="Arial" w:eastAsia="Arial" w:hAnsi="Arial" w:cs="Arial"/>
            <w:iCs/>
            <w:sz w:val="22"/>
            <w:szCs w:val="22"/>
            <w:lang w:val="en-CA"/>
          </w:rPr>
          <w:t>Walt Disney</w:t>
        </w:r>
      </w:hyperlink>
      <w:r w:rsidRPr="00F04C53">
        <w:rPr>
          <w:rFonts w:ascii="Arial" w:eastAsia="Arial" w:hAnsi="Arial" w:cs="Arial"/>
          <w:iCs/>
          <w:sz w:val="22"/>
          <w:szCs w:val="22"/>
          <w:lang w:val="en-CA"/>
        </w:rPr>
        <w:t xml:space="preserve"> Company announced the official launch of the streaming service Hulu on </w:t>
      </w:r>
      <w:hyperlink r:id="rId29" w:history="1">
        <w:r w:rsidRPr="001B5BBB">
          <w:rPr>
            <w:rStyle w:val="Hyperlink"/>
            <w:rFonts w:ascii="Arial" w:eastAsia="Arial" w:hAnsi="Arial" w:cs="Arial"/>
            <w:iCs/>
            <w:sz w:val="22"/>
            <w:szCs w:val="22"/>
            <w:lang w:val="en-CA"/>
          </w:rPr>
          <w:t>Disney Plus</w:t>
        </w:r>
      </w:hyperlink>
      <w:r w:rsidRPr="00F04C53">
        <w:rPr>
          <w:rFonts w:ascii="Arial" w:eastAsia="Arial" w:hAnsi="Arial" w:cs="Arial"/>
          <w:iCs/>
          <w:sz w:val="22"/>
          <w:szCs w:val="22"/>
          <w:lang w:val="en-CA"/>
        </w:rPr>
        <w:t xml:space="preserve"> in the United States, bringing together the extensive Disney Plus and Hulu catalogues. As such, for consumers who subscribe to both Disney Plus and Hulu, it is possible to watch all content from both platforms in one place: Disney Plus. As </w:t>
      </w:r>
      <w:hyperlink r:id="rId30" w:history="1">
        <w:r w:rsidRPr="0016061A">
          <w:rPr>
            <w:rStyle w:val="Hyperlink"/>
            <w:rFonts w:ascii="Arial" w:eastAsia="Arial" w:hAnsi="Arial" w:cs="Arial"/>
            <w:iCs/>
            <w:sz w:val="22"/>
            <w:szCs w:val="22"/>
            <w:lang w:val="en-CA"/>
          </w:rPr>
          <w:t>Vulture</w:t>
        </w:r>
      </w:hyperlink>
      <w:r w:rsidRPr="00F04C53">
        <w:rPr>
          <w:rFonts w:ascii="Arial" w:eastAsia="Arial" w:hAnsi="Arial" w:cs="Arial"/>
          <w:iCs/>
          <w:sz w:val="22"/>
          <w:szCs w:val="22"/>
          <w:lang w:val="en-CA"/>
        </w:rPr>
        <w:t xml:space="preserve"> pointed out, </w:t>
      </w:r>
      <w:r w:rsidR="008B64F8">
        <w:rPr>
          <w:rFonts w:ascii="Arial" w:eastAsia="Arial" w:hAnsi="Arial" w:cs="Arial"/>
          <w:iCs/>
          <w:sz w:val="22"/>
          <w:szCs w:val="22"/>
          <w:lang w:val="en-CA"/>
        </w:rPr>
        <w:t>“</w:t>
      </w:r>
      <w:r w:rsidRPr="00F04C53">
        <w:rPr>
          <w:rFonts w:ascii="Arial" w:eastAsia="Arial" w:hAnsi="Arial" w:cs="Arial"/>
          <w:iCs/>
          <w:sz w:val="22"/>
          <w:szCs w:val="22"/>
          <w:lang w:val="en-CA"/>
        </w:rPr>
        <w:t xml:space="preserve">this so-called one-app experience combining Disney Plus and Hulu has been in the works for more than a year”. </w:t>
      </w:r>
    </w:p>
    <w:p w14:paraId="7F30D091" w14:textId="4C1FD023" w:rsidR="003B7751" w:rsidRPr="00F04C53" w:rsidRDefault="003D5A7D" w:rsidP="000C2EB4">
      <w:pPr>
        <w:spacing w:before="288" w:after="288" w:line="276" w:lineRule="auto"/>
        <w:ind w:left="426" w:right="714"/>
        <w:jc w:val="both"/>
        <w:rPr>
          <w:rFonts w:ascii="Arial" w:eastAsia="Arial" w:hAnsi="Arial" w:cs="Arial"/>
          <w:iCs/>
          <w:sz w:val="22"/>
          <w:szCs w:val="22"/>
          <w:lang w:val="en-CA"/>
        </w:rPr>
      </w:pPr>
      <w:r w:rsidRPr="00F04C53">
        <w:rPr>
          <w:rFonts w:ascii="Arial" w:eastAsia="Arial" w:hAnsi="Arial" w:cs="Arial"/>
          <w:iCs/>
          <w:sz w:val="22"/>
          <w:szCs w:val="22"/>
          <w:lang w:val="en-CA"/>
        </w:rPr>
        <w:t xml:space="preserve">In the UK, </w:t>
      </w:r>
      <w:hyperlink r:id="rId31" w:history="1">
        <w:r w:rsidRPr="00F04C53">
          <w:rPr>
            <w:rStyle w:val="Hyperlink"/>
            <w:rFonts w:ascii="Arial" w:eastAsia="Arial" w:hAnsi="Arial" w:cs="Arial"/>
            <w:iCs/>
            <w:sz w:val="22"/>
            <w:szCs w:val="22"/>
            <w:lang w:val="en-CA"/>
          </w:rPr>
          <w:t>Spotify</w:t>
        </w:r>
      </w:hyperlink>
      <w:r w:rsidRPr="00F04C53">
        <w:rPr>
          <w:rFonts w:ascii="Arial" w:eastAsia="Arial" w:hAnsi="Arial" w:cs="Arial"/>
          <w:iCs/>
          <w:sz w:val="22"/>
          <w:szCs w:val="22"/>
          <w:lang w:val="en-CA"/>
        </w:rPr>
        <w:t xml:space="preserve"> started offering a fourth category of content alongside its existing library of songs, podcasts and audiobooks: online courses. As </w:t>
      </w:r>
      <w:hyperlink r:id="rId32" w:history="1">
        <w:r w:rsidRPr="001958BC">
          <w:rPr>
            <w:rStyle w:val="Hyperlink"/>
            <w:rFonts w:ascii="Arial" w:eastAsia="Arial" w:hAnsi="Arial" w:cs="Arial"/>
            <w:iCs/>
            <w:sz w:val="22"/>
            <w:szCs w:val="22"/>
            <w:lang w:val="en-CA"/>
          </w:rPr>
          <w:t>The Verge</w:t>
        </w:r>
      </w:hyperlink>
      <w:r w:rsidRPr="00F04C53">
        <w:rPr>
          <w:rFonts w:ascii="Arial" w:eastAsia="Arial" w:hAnsi="Arial" w:cs="Arial"/>
          <w:iCs/>
          <w:sz w:val="22"/>
          <w:szCs w:val="22"/>
          <w:lang w:val="en-CA"/>
        </w:rPr>
        <w:t xml:space="preserve"> mentioned, the company will offer a new service, which “will see video-based lessons from BBC Maestro, Skillshare, Thinkific and PlayVirtuoso made available via Spotify’s apps on mobile and desktop”. Spotify offers four categories of courses in the UK: make music, get creative, learn business and healthy leaving.</w:t>
      </w:r>
    </w:p>
    <w:p w14:paraId="1512FF45" w14:textId="5D76FF3B" w:rsidR="00D57E22" w:rsidRPr="00F04C53" w:rsidRDefault="00FD4196" w:rsidP="009D076C">
      <w:pPr>
        <w:spacing w:before="288" w:after="288" w:line="276" w:lineRule="auto"/>
        <w:ind w:left="426" w:right="714"/>
        <w:jc w:val="both"/>
        <w:rPr>
          <w:rFonts w:ascii="Arial" w:eastAsia="Arial" w:hAnsi="Arial" w:cs="Arial"/>
          <w:i/>
          <w:sz w:val="22"/>
          <w:szCs w:val="22"/>
          <w:lang w:val="en-CA"/>
        </w:rPr>
      </w:pPr>
      <w:r w:rsidRPr="00F04C53">
        <w:rPr>
          <w:rFonts w:ascii="Arial" w:eastAsia="Arial" w:hAnsi="Arial" w:cs="Arial"/>
          <w:i/>
          <w:sz w:val="22"/>
          <w:szCs w:val="22"/>
          <w:lang w:val="en-CA"/>
        </w:rPr>
        <w:t xml:space="preserve">Geographical expansion and struggle for subscribers </w:t>
      </w:r>
    </w:p>
    <w:p w14:paraId="2C464D00" w14:textId="1B30AAC7" w:rsidR="000C2EB4" w:rsidRPr="00F04C53" w:rsidRDefault="000C2EB4" w:rsidP="009D076C">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sz w:val="22"/>
          <w:szCs w:val="22"/>
          <w:lang w:val="en-CA"/>
        </w:rPr>
        <w:t>Freely, the new free streaming service backed by Britain’s public service broadcasters</w:t>
      </w:r>
      <w:r w:rsidR="006C607E" w:rsidRPr="00F04C53">
        <w:rPr>
          <w:rFonts w:ascii="Arial" w:eastAsia="Arial" w:hAnsi="Arial" w:cs="Arial"/>
          <w:sz w:val="22"/>
          <w:szCs w:val="22"/>
          <w:lang w:val="en-CA"/>
        </w:rPr>
        <w:t xml:space="preserve">, will launch in the second quarter of 2024. As </w:t>
      </w:r>
      <w:hyperlink r:id="rId33" w:history="1">
        <w:r w:rsidR="006C607E" w:rsidRPr="00F04C53">
          <w:rPr>
            <w:rStyle w:val="Hyperlink"/>
            <w:rFonts w:ascii="Arial" w:eastAsia="Arial" w:hAnsi="Arial" w:cs="Arial"/>
            <w:sz w:val="22"/>
            <w:szCs w:val="22"/>
            <w:lang w:val="en-CA"/>
          </w:rPr>
          <w:t>Variety</w:t>
        </w:r>
      </w:hyperlink>
      <w:r w:rsidR="006C607E" w:rsidRPr="00F04C53">
        <w:rPr>
          <w:rFonts w:ascii="Arial" w:eastAsia="Arial" w:hAnsi="Arial" w:cs="Arial"/>
          <w:sz w:val="22"/>
          <w:szCs w:val="22"/>
          <w:lang w:val="en-CA"/>
        </w:rPr>
        <w:t xml:space="preserve"> mentioned, “this initiative is from Everyone TV, the organization which runs free TV in the United Kingdom and is jointly owned by the BBC, ITV, Channel 4 and Channel 5”. The streaming service will deliver live TV over broadband together with on-demand content streamed to the smart TV of users via the </w:t>
      </w:r>
      <w:r w:rsidR="004D1567">
        <w:rPr>
          <w:rFonts w:ascii="Arial" w:eastAsia="Arial" w:hAnsi="Arial" w:cs="Arial"/>
          <w:sz w:val="22"/>
          <w:szCs w:val="22"/>
          <w:lang w:val="en-CA"/>
        </w:rPr>
        <w:t>I</w:t>
      </w:r>
      <w:r w:rsidR="006C607E" w:rsidRPr="00F04C53">
        <w:rPr>
          <w:rFonts w:ascii="Arial" w:eastAsia="Arial" w:hAnsi="Arial" w:cs="Arial"/>
          <w:sz w:val="22"/>
          <w:szCs w:val="22"/>
          <w:lang w:val="en-CA"/>
        </w:rPr>
        <w:t xml:space="preserve">nternet. According to </w:t>
      </w:r>
      <w:hyperlink r:id="rId34" w:history="1">
        <w:r w:rsidR="006C607E" w:rsidRPr="00F04C53">
          <w:rPr>
            <w:rStyle w:val="Hyperlink"/>
            <w:rFonts w:ascii="Arial" w:eastAsia="Arial" w:hAnsi="Arial" w:cs="Arial"/>
            <w:sz w:val="22"/>
            <w:szCs w:val="22"/>
            <w:lang w:val="en-CA"/>
          </w:rPr>
          <w:t>Mashable</w:t>
        </w:r>
      </w:hyperlink>
      <w:r w:rsidR="006C607E" w:rsidRPr="00F04C53">
        <w:rPr>
          <w:rFonts w:ascii="Arial" w:eastAsia="Arial" w:hAnsi="Arial" w:cs="Arial"/>
          <w:sz w:val="22"/>
          <w:szCs w:val="22"/>
          <w:lang w:val="en-CA"/>
        </w:rPr>
        <w:t xml:space="preserve">, “Freely will be accessible in any home with a WiFi connection. But, how Freely’s programming will compare to the subscription-based streaming service BritBox, founded by BBC and ITV, remains to be seen”. </w:t>
      </w:r>
    </w:p>
    <w:p w14:paraId="31FFF4F5" w14:textId="4993A0E4" w:rsidR="006C607E" w:rsidRPr="00F04C53" w:rsidRDefault="006C607E" w:rsidP="009D076C">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sz w:val="22"/>
          <w:szCs w:val="22"/>
          <w:lang w:val="en-CA"/>
        </w:rPr>
        <w:lastRenderedPageBreak/>
        <w:t xml:space="preserve">During a keynote at the festival </w:t>
      </w:r>
      <w:hyperlink r:id="rId35" w:history="1">
        <w:r w:rsidRPr="00F04C53">
          <w:rPr>
            <w:rStyle w:val="Hyperlink"/>
            <w:rFonts w:ascii="Arial" w:eastAsia="Arial" w:hAnsi="Arial" w:cs="Arial"/>
            <w:sz w:val="22"/>
            <w:szCs w:val="22"/>
            <w:lang w:val="en-CA"/>
          </w:rPr>
          <w:t>Series Mania</w:t>
        </w:r>
      </w:hyperlink>
      <w:r w:rsidRPr="00F04C53">
        <w:rPr>
          <w:rFonts w:ascii="Arial" w:eastAsia="Arial" w:hAnsi="Arial" w:cs="Arial"/>
          <w:sz w:val="22"/>
          <w:szCs w:val="22"/>
          <w:lang w:val="en-CA"/>
        </w:rPr>
        <w:t>, Delphine Ernotte-Cunci, the CEO of France T</w:t>
      </w:r>
      <w:r w:rsidR="00F04C53" w:rsidRPr="00F04C53">
        <w:rPr>
          <w:rFonts w:ascii="Arial" w:eastAsia="Arial" w:hAnsi="Arial" w:cs="Arial"/>
          <w:sz w:val="22"/>
          <w:szCs w:val="22"/>
          <w:lang w:val="en-CA"/>
        </w:rPr>
        <w:t>é</w:t>
      </w:r>
      <w:r w:rsidRPr="00F04C53">
        <w:rPr>
          <w:rFonts w:ascii="Arial" w:eastAsia="Arial" w:hAnsi="Arial" w:cs="Arial"/>
          <w:sz w:val="22"/>
          <w:szCs w:val="22"/>
          <w:lang w:val="en-CA"/>
        </w:rPr>
        <w:t>lévisions, mentioned the collapse of the French streamer Salto was “a strategic mistake”</w:t>
      </w:r>
      <w:r w:rsidR="00570F7C" w:rsidRPr="00F04C53">
        <w:rPr>
          <w:rFonts w:ascii="Arial" w:eastAsia="Arial" w:hAnsi="Arial" w:cs="Arial"/>
          <w:sz w:val="22"/>
          <w:szCs w:val="22"/>
          <w:lang w:val="en-CA"/>
        </w:rPr>
        <w:t>, while she said that “a common platform is the right thing to do”</w:t>
      </w:r>
      <w:r w:rsidRPr="00F04C53">
        <w:rPr>
          <w:rFonts w:ascii="Arial" w:eastAsia="Arial" w:hAnsi="Arial" w:cs="Arial"/>
          <w:sz w:val="22"/>
          <w:szCs w:val="22"/>
          <w:lang w:val="en-CA"/>
        </w:rPr>
        <w:t>.</w:t>
      </w:r>
      <w:r w:rsidR="0090379A" w:rsidRPr="00F04C53">
        <w:rPr>
          <w:rFonts w:ascii="Arial" w:eastAsia="Arial" w:hAnsi="Arial" w:cs="Arial"/>
          <w:sz w:val="22"/>
          <w:szCs w:val="22"/>
          <w:lang w:val="en-CA"/>
        </w:rPr>
        <w:t xml:space="preserve"> According to </w:t>
      </w:r>
      <w:hyperlink r:id="rId36" w:history="1">
        <w:r w:rsidR="0090379A" w:rsidRPr="00F04C53">
          <w:rPr>
            <w:rStyle w:val="Hyperlink"/>
            <w:rFonts w:ascii="Arial" w:eastAsia="Arial" w:hAnsi="Arial" w:cs="Arial"/>
            <w:sz w:val="22"/>
            <w:szCs w:val="22"/>
            <w:lang w:val="en-CA"/>
          </w:rPr>
          <w:t>Deadline</w:t>
        </w:r>
      </w:hyperlink>
      <w:r w:rsidR="0090379A" w:rsidRPr="00F04C53">
        <w:rPr>
          <w:rFonts w:ascii="Arial" w:eastAsia="Arial" w:hAnsi="Arial" w:cs="Arial"/>
          <w:sz w:val="22"/>
          <w:szCs w:val="22"/>
          <w:lang w:val="en-CA"/>
        </w:rPr>
        <w:t>,</w:t>
      </w:r>
      <w:r w:rsidRPr="00F04C53">
        <w:rPr>
          <w:rFonts w:ascii="Arial" w:eastAsia="Arial" w:hAnsi="Arial" w:cs="Arial"/>
          <w:sz w:val="22"/>
          <w:szCs w:val="22"/>
          <w:lang w:val="en-CA"/>
        </w:rPr>
        <w:t xml:space="preserve"> Salto</w:t>
      </w:r>
      <w:r w:rsidR="00570F7C" w:rsidRPr="00F04C53">
        <w:rPr>
          <w:rFonts w:ascii="Arial" w:eastAsia="Arial" w:hAnsi="Arial" w:cs="Arial"/>
          <w:sz w:val="22"/>
          <w:szCs w:val="22"/>
          <w:lang w:val="en-CA"/>
        </w:rPr>
        <w:t xml:space="preserve"> was a subscription streaming venture between France Télévisions, TF1 and M6 and it dissolved in 2023 after failing to attract subscribers. On his side, the outgoing boss of M6, Nicolas de Tavernost called for “collective measures to expand streaming services”, by adding that the launch of Freely revealed that “British people showed us the way but we missed a step there”.</w:t>
      </w:r>
    </w:p>
    <w:p w14:paraId="56D5DA30" w14:textId="0AC500F8" w:rsidR="00D57E22" w:rsidRPr="00F04C53" w:rsidRDefault="00FD4196" w:rsidP="009D076C">
      <w:pPr>
        <w:spacing w:before="288" w:after="288" w:line="276" w:lineRule="auto"/>
        <w:ind w:left="426" w:right="714"/>
        <w:jc w:val="both"/>
        <w:rPr>
          <w:rFonts w:ascii="Arial" w:eastAsia="Arial" w:hAnsi="Arial" w:cs="Arial"/>
          <w:sz w:val="22"/>
          <w:szCs w:val="22"/>
          <w:lang w:val="en-CA"/>
        </w:rPr>
      </w:pPr>
      <w:r w:rsidRPr="00F04C53">
        <w:rPr>
          <w:rFonts w:ascii="Arial" w:eastAsia="Arial" w:hAnsi="Arial" w:cs="Arial"/>
          <w:b/>
          <w:sz w:val="22"/>
          <w:szCs w:val="22"/>
          <w:lang w:val="en-CA"/>
        </w:rPr>
        <w:t xml:space="preserve">Additional readings for the </w:t>
      </w:r>
      <w:r w:rsidR="00015E57">
        <w:rPr>
          <w:rFonts w:ascii="Arial" w:eastAsia="Arial" w:hAnsi="Arial" w:cs="Arial"/>
          <w:b/>
          <w:sz w:val="22"/>
          <w:szCs w:val="22"/>
          <w:lang w:val="en-CA"/>
        </w:rPr>
        <w:t>April</w:t>
      </w:r>
      <w:r w:rsidRPr="00F04C53">
        <w:rPr>
          <w:rFonts w:ascii="Arial" w:eastAsia="Arial" w:hAnsi="Arial" w:cs="Arial"/>
          <w:b/>
          <w:sz w:val="22"/>
          <w:szCs w:val="22"/>
          <w:lang w:val="en-CA"/>
        </w:rPr>
        <w:t xml:space="preserve"> report: </w:t>
      </w:r>
    </w:p>
    <w:p w14:paraId="6520485D" w14:textId="6779E52C" w:rsidR="00D57E22" w:rsidRPr="00F04C53" w:rsidRDefault="00F04C53" w:rsidP="009D076C">
      <w:pPr>
        <w:spacing w:before="288" w:after="288" w:line="276" w:lineRule="auto"/>
        <w:ind w:left="426" w:right="714"/>
        <w:jc w:val="both"/>
        <w:rPr>
          <w:rFonts w:ascii="Arial" w:eastAsia="Arial" w:hAnsi="Arial" w:cs="Arial"/>
          <w:sz w:val="22"/>
          <w:szCs w:val="22"/>
          <w:lang w:val="en-CA"/>
        </w:rPr>
      </w:pPr>
      <w:r>
        <w:rPr>
          <w:rFonts w:ascii="Arial" w:eastAsia="Arial" w:hAnsi="Arial" w:cs="Arial"/>
          <w:sz w:val="22"/>
          <w:szCs w:val="22"/>
          <w:lang w:val="en-CA"/>
        </w:rPr>
        <w:t>How Netflix survived the streaming wars to stay the subscription video king</w:t>
      </w:r>
      <w:r w:rsidR="00A02A76" w:rsidRPr="00F04C53">
        <w:rPr>
          <w:rFonts w:ascii="Arial" w:eastAsia="Arial" w:hAnsi="Arial" w:cs="Arial"/>
          <w:sz w:val="22"/>
          <w:szCs w:val="22"/>
          <w:lang w:val="en-CA"/>
        </w:rPr>
        <w:t xml:space="preserve">, </w:t>
      </w:r>
      <w:r>
        <w:rPr>
          <w:rFonts w:ascii="Arial" w:eastAsia="Arial" w:hAnsi="Arial" w:cs="Arial"/>
          <w:i/>
          <w:sz w:val="22"/>
          <w:szCs w:val="22"/>
          <w:lang w:val="en-CA"/>
        </w:rPr>
        <w:t>Los Angeles Times</w:t>
      </w:r>
      <w:r w:rsidR="00A02A76" w:rsidRPr="00F04C53">
        <w:rPr>
          <w:rFonts w:ascii="Arial" w:eastAsia="Arial" w:hAnsi="Arial" w:cs="Arial"/>
          <w:i/>
          <w:sz w:val="22"/>
          <w:szCs w:val="22"/>
          <w:lang w:val="en-CA"/>
        </w:rPr>
        <w:t xml:space="preserve">, </w:t>
      </w:r>
      <w:r>
        <w:rPr>
          <w:rFonts w:ascii="Arial" w:eastAsia="Arial" w:hAnsi="Arial" w:cs="Arial"/>
          <w:sz w:val="22"/>
          <w:szCs w:val="22"/>
          <w:lang w:val="en-CA"/>
        </w:rPr>
        <w:t>6</w:t>
      </w:r>
      <w:r w:rsidR="00A02A76" w:rsidRPr="00F04C53">
        <w:rPr>
          <w:rFonts w:ascii="Arial" w:eastAsia="Arial" w:hAnsi="Arial" w:cs="Arial"/>
          <w:sz w:val="22"/>
          <w:szCs w:val="22"/>
          <w:lang w:val="en-CA"/>
        </w:rPr>
        <w:t xml:space="preserve"> </w:t>
      </w:r>
      <w:r>
        <w:rPr>
          <w:rFonts w:ascii="Arial" w:eastAsia="Arial" w:hAnsi="Arial" w:cs="Arial"/>
          <w:sz w:val="22"/>
          <w:szCs w:val="22"/>
          <w:lang w:val="en-CA"/>
        </w:rPr>
        <w:t>March</w:t>
      </w:r>
      <w:r w:rsidR="00A02A76" w:rsidRPr="00F04C53">
        <w:rPr>
          <w:rFonts w:ascii="Arial" w:eastAsia="Arial" w:hAnsi="Arial" w:cs="Arial"/>
          <w:sz w:val="22"/>
          <w:szCs w:val="22"/>
          <w:lang w:val="en-CA"/>
        </w:rPr>
        <w:t xml:space="preserve"> 202</w:t>
      </w:r>
      <w:r w:rsidR="00F725FF" w:rsidRPr="00F04C53">
        <w:rPr>
          <w:rFonts w:ascii="Arial" w:eastAsia="Arial" w:hAnsi="Arial" w:cs="Arial"/>
          <w:sz w:val="22"/>
          <w:szCs w:val="22"/>
          <w:lang w:val="en-CA"/>
        </w:rPr>
        <w:t>4</w:t>
      </w:r>
      <w:r w:rsidR="00A02A76" w:rsidRPr="00F04C53">
        <w:rPr>
          <w:rFonts w:ascii="Arial" w:eastAsia="Arial" w:hAnsi="Arial" w:cs="Arial"/>
          <w:sz w:val="22"/>
          <w:szCs w:val="22"/>
          <w:lang w:val="en-CA"/>
        </w:rPr>
        <w:t xml:space="preserve">, </w:t>
      </w:r>
      <w:hyperlink r:id="rId37" w:history="1">
        <w:r w:rsidR="009628EC" w:rsidRPr="008B2725">
          <w:rPr>
            <w:rStyle w:val="Hyperlink"/>
            <w:rFonts w:ascii="Arial" w:eastAsia="Arial" w:hAnsi="Arial" w:cs="Arial"/>
            <w:color w:val="4472C4" w:themeColor="accent1"/>
            <w:sz w:val="22"/>
            <w:szCs w:val="22"/>
            <w:lang w:val="en-CA"/>
          </w:rPr>
          <w:t>Link</w:t>
        </w:r>
        <w:r w:rsidR="00A02A76" w:rsidRPr="008B2725">
          <w:rPr>
            <w:rStyle w:val="Hyperlink"/>
            <w:rFonts w:ascii="Arial" w:eastAsia="Arial" w:hAnsi="Arial" w:cs="Arial"/>
            <w:color w:val="4472C4" w:themeColor="accent1"/>
            <w:sz w:val="22"/>
            <w:szCs w:val="22"/>
            <w:lang w:val="en-CA"/>
          </w:rPr>
          <w:t>.</w:t>
        </w:r>
      </w:hyperlink>
    </w:p>
    <w:p w14:paraId="08E0F92F" w14:textId="44A87BA3" w:rsidR="00E04F7C" w:rsidRPr="00F04C53" w:rsidRDefault="00F04C53" w:rsidP="00095F3E">
      <w:pPr>
        <w:spacing w:before="288" w:after="288" w:line="276" w:lineRule="auto"/>
        <w:ind w:left="426" w:right="714"/>
        <w:jc w:val="both"/>
        <w:rPr>
          <w:rFonts w:ascii="Arial" w:eastAsia="Arial" w:hAnsi="Arial" w:cs="Arial"/>
          <w:sz w:val="22"/>
          <w:szCs w:val="22"/>
          <w:u w:val="single"/>
          <w:lang w:val="en-CA"/>
        </w:rPr>
      </w:pPr>
      <w:r>
        <w:rPr>
          <w:rFonts w:ascii="Arial" w:eastAsia="Arial" w:hAnsi="Arial" w:cs="Arial"/>
          <w:sz w:val="22"/>
          <w:szCs w:val="22"/>
          <w:lang w:val="en-CA"/>
        </w:rPr>
        <w:t>Why Series Mania has grown so big</w:t>
      </w:r>
      <w:r w:rsidR="00A02A76" w:rsidRPr="00F04C53">
        <w:rPr>
          <w:rFonts w:ascii="Arial" w:eastAsia="Arial" w:hAnsi="Arial" w:cs="Arial"/>
          <w:sz w:val="22"/>
          <w:szCs w:val="22"/>
          <w:lang w:val="en-CA"/>
        </w:rPr>
        <w:t xml:space="preserve">, </w:t>
      </w:r>
      <w:r>
        <w:rPr>
          <w:rFonts w:ascii="Arial" w:eastAsia="Arial" w:hAnsi="Arial" w:cs="Arial"/>
          <w:i/>
          <w:sz w:val="22"/>
          <w:szCs w:val="22"/>
          <w:lang w:val="en-CA"/>
        </w:rPr>
        <w:t>Variety</w:t>
      </w:r>
      <w:r w:rsidR="00A02A76" w:rsidRPr="00F04C53">
        <w:rPr>
          <w:rFonts w:ascii="Arial" w:eastAsia="Arial" w:hAnsi="Arial" w:cs="Arial"/>
          <w:i/>
          <w:sz w:val="22"/>
          <w:szCs w:val="22"/>
          <w:lang w:val="en-CA"/>
        </w:rPr>
        <w:t xml:space="preserve">, </w:t>
      </w:r>
      <w:r>
        <w:rPr>
          <w:rFonts w:ascii="Arial" w:eastAsia="Arial" w:hAnsi="Arial" w:cs="Arial"/>
          <w:sz w:val="22"/>
          <w:szCs w:val="22"/>
          <w:lang w:val="en-CA"/>
        </w:rPr>
        <w:t>15</w:t>
      </w:r>
      <w:r w:rsidR="00A02A76" w:rsidRPr="00F04C53">
        <w:rPr>
          <w:rFonts w:ascii="Arial" w:eastAsia="Arial" w:hAnsi="Arial" w:cs="Arial"/>
          <w:sz w:val="22"/>
          <w:szCs w:val="22"/>
          <w:lang w:val="en-CA"/>
        </w:rPr>
        <w:t xml:space="preserve"> </w:t>
      </w:r>
      <w:r>
        <w:rPr>
          <w:rFonts w:ascii="Arial" w:eastAsia="Arial" w:hAnsi="Arial" w:cs="Arial"/>
          <w:sz w:val="22"/>
          <w:szCs w:val="22"/>
          <w:lang w:val="en-CA"/>
        </w:rPr>
        <w:t>March</w:t>
      </w:r>
      <w:r w:rsidR="00A02A76" w:rsidRPr="00F04C53">
        <w:rPr>
          <w:rFonts w:ascii="Arial" w:eastAsia="Arial" w:hAnsi="Arial" w:cs="Arial"/>
          <w:sz w:val="22"/>
          <w:szCs w:val="22"/>
          <w:lang w:val="en-CA"/>
        </w:rPr>
        <w:t xml:space="preserve"> 202</w:t>
      </w:r>
      <w:r w:rsidR="00F725FF" w:rsidRPr="00F04C53">
        <w:rPr>
          <w:rFonts w:ascii="Arial" w:eastAsia="Arial" w:hAnsi="Arial" w:cs="Arial"/>
          <w:sz w:val="22"/>
          <w:szCs w:val="22"/>
          <w:lang w:val="en-CA"/>
        </w:rPr>
        <w:t>4</w:t>
      </w:r>
      <w:r w:rsidR="00A02A76" w:rsidRPr="00F04C53">
        <w:rPr>
          <w:rFonts w:ascii="Arial" w:eastAsia="Arial" w:hAnsi="Arial" w:cs="Arial"/>
          <w:sz w:val="22"/>
          <w:szCs w:val="22"/>
          <w:lang w:val="en-CA"/>
        </w:rPr>
        <w:t xml:space="preserve">, </w:t>
      </w:r>
      <w:hyperlink r:id="rId38" w:history="1">
        <w:r w:rsidR="009628EC" w:rsidRPr="00F04C53">
          <w:rPr>
            <w:rStyle w:val="Hyperlink"/>
            <w:rFonts w:ascii="Arial" w:eastAsia="Arial" w:hAnsi="Arial" w:cs="Arial"/>
            <w:sz w:val="22"/>
            <w:szCs w:val="22"/>
            <w:lang w:val="en-CA"/>
          </w:rPr>
          <w:t>Link</w:t>
        </w:r>
        <w:r w:rsidR="00A02A76" w:rsidRPr="00F04C53">
          <w:rPr>
            <w:rStyle w:val="Hyperlink"/>
            <w:rFonts w:ascii="Arial" w:eastAsia="Arial" w:hAnsi="Arial" w:cs="Arial"/>
            <w:sz w:val="22"/>
            <w:szCs w:val="22"/>
            <w:lang w:val="en-CA"/>
          </w:rPr>
          <w:t>.</w:t>
        </w:r>
      </w:hyperlink>
    </w:p>
    <w:p w14:paraId="7C2C9805" w14:textId="4E2552A9" w:rsidR="001001A4" w:rsidRPr="00F04C53" w:rsidRDefault="00FD4196" w:rsidP="00095F3E">
      <w:pPr>
        <w:spacing w:before="288" w:after="288" w:line="276" w:lineRule="auto"/>
        <w:ind w:right="714" w:firstLine="426"/>
        <w:jc w:val="both"/>
        <w:rPr>
          <w:rFonts w:ascii="Arial" w:eastAsia="Arial" w:hAnsi="Arial" w:cs="Arial"/>
          <w:b/>
          <w:sz w:val="22"/>
          <w:szCs w:val="22"/>
          <w:lang w:val="en-CA"/>
        </w:rPr>
      </w:pPr>
      <w:r w:rsidRPr="00F04C53">
        <w:rPr>
          <w:rFonts w:ascii="Arial" w:eastAsia="Arial" w:hAnsi="Arial" w:cs="Arial"/>
          <w:b/>
          <w:sz w:val="22"/>
          <w:szCs w:val="22"/>
          <w:lang w:val="en-CA"/>
        </w:rPr>
        <w:t>Indicative source</w:t>
      </w:r>
      <w:r w:rsidR="001001A4" w:rsidRPr="00F04C53">
        <w:rPr>
          <w:rFonts w:ascii="Arial" w:eastAsia="Arial" w:hAnsi="Arial" w:cs="Arial"/>
          <w:b/>
          <w:sz w:val="22"/>
          <w:szCs w:val="22"/>
          <w:lang w:val="en-CA"/>
        </w:rPr>
        <w:t>s</w:t>
      </w:r>
    </w:p>
    <w:p w14:paraId="0BC867D4" w14:textId="688C4FFD" w:rsidR="003268E6" w:rsidRPr="00D470B9" w:rsidRDefault="00D470B9" w:rsidP="00D470B9">
      <w:pPr>
        <w:numPr>
          <w:ilvl w:val="0"/>
          <w:numId w:val="1"/>
        </w:numPr>
        <w:pBdr>
          <w:top w:val="nil"/>
          <w:left w:val="nil"/>
          <w:bottom w:val="nil"/>
          <w:right w:val="nil"/>
          <w:between w:val="nil"/>
        </w:pBdr>
        <w:spacing w:before="360"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Apple plans to appeal European Commission’s massive antitrust fine favoring Spotify</w:t>
      </w:r>
      <w:r w:rsidR="001001A4" w:rsidRPr="00F04C53">
        <w:rPr>
          <w:rFonts w:ascii="Arial" w:eastAsia="Arial" w:hAnsi="Arial" w:cs="Arial"/>
          <w:i/>
          <w:iCs/>
          <w:sz w:val="22"/>
          <w:szCs w:val="22"/>
          <w:lang w:val="en-CA"/>
        </w:rPr>
        <w:t>,</w:t>
      </w:r>
      <w:r w:rsidR="00A02022" w:rsidRPr="00F04C53">
        <w:rPr>
          <w:rFonts w:ascii="Arial" w:eastAsia="Arial" w:hAnsi="Arial" w:cs="Arial"/>
          <w:i/>
          <w:iCs/>
          <w:sz w:val="22"/>
          <w:szCs w:val="22"/>
          <w:lang w:val="en-CA"/>
        </w:rPr>
        <w:t xml:space="preserve"> </w:t>
      </w:r>
      <w:r>
        <w:rPr>
          <w:rFonts w:ascii="Arial" w:eastAsia="Arial" w:hAnsi="Arial" w:cs="Arial"/>
          <w:i/>
          <w:iCs/>
          <w:sz w:val="22"/>
          <w:szCs w:val="22"/>
          <w:lang w:val="en-CA"/>
        </w:rPr>
        <w:t>TechCrunch</w:t>
      </w:r>
      <w:r w:rsidR="00A02022" w:rsidRPr="00F04C53">
        <w:rPr>
          <w:rFonts w:ascii="Arial" w:eastAsia="Arial" w:hAnsi="Arial" w:cs="Arial"/>
          <w:i/>
          <w:iCs/>
          <w:sz w:val="22"/>
          <w:szCs w:val="22"/>
          <w:lang w:val="en-CA"/>
        </w:rPr>
        <w:t>,</w:t>
      </w:r>
      <w:r w:rsidR="001001A4" w:rsidRPr="00F04C53">
        <w:rPr>
          <w:rFonts w:ascii="Arial" w:eastAsia="Arial" w:hAnsi="Arial" w:cs="Arial"/>
          <w:i/>
          <w:iCs/>
          <w:sz w:val="22"/>
          <w:szCs w:val="22"/>
          <w:lang w:val="en-CA"/>
        </w:rPr>
        <w:t xml:space="preserve"> </w:t>
      </w:r>
      <w:r>
        <w:rPr>
          <w:rFonts w:ascii="Arial" w:eastAsia="Arial" w:hAnsi="Arial" w:cs="Arial"/>
          <w:sz w:val="22"/>
          <w:szCs w:val="22"/>
          <w:lang w:val="en-CA"/>
        </w:rPr>
        <w:t>4</w:t>
      </w:r>
      <w:r w:rsidR="001001A4" w:rsidRPr="00F04C53">
        <w:rPr>
          <w:rFonts w:ascii="Arial" w:eastAsia="Arial" w:hAnsi="Arial" w:cs="Arial"/>
          <w:sz w:val="22"/>
          <w:szCs w:val="22"/>
          <w:lang w:val="en-CA"/>
        </w:rPr>
        <w:t xml:space="preserve"> </w:t>
      </w:r>
      <w:r>
        <w:rPr>
          <w:rFonts w:ascii="Arial" w:eastAsia="Arial" w:hAnsi="Arial" w:cs="Arial"/>
          <w:sz w:val="22"/>
          <w:szCs w:val="22"/>
          <w:lang w:val="en-CA"/>
        </w:rPr>
        <w:t>March</w:t>
      </w:r>
      <w:r w:rsidR="003268E6" w:rsidRPr="00F04C53">
        <w:rPr>
          <w:rFonts w:ascii="Arial" w:eastAsia="Arial" w:hAnsi="Arial" w:cs="Arial"/>
          <w:sz w:val="22"/>
          <w:szCs w:val="22"/>
          <w:lang w:val="en-CA"/>
        </w:rPr>
        <w:t xml:space="preserve"> </w:t>
      </w:r>
      <w:r w:rsidR="001001A4" w:rsidRPr="00F04C53">
        <w:rPr>
          <w:rFonts w:ascii="Arial" w:eastAsia="Arial" w:hAnsi="Arial" w:cs="Arial"/>
          <w:sz w:val="22"/>
          <w:szCs w:val="22"/>
          <w:lang w:val="en-CA"/>
        </w:rPr>
        <w:t>202</w:t>
      </w:r>
      <w:r>
        <w:rPr>
          <w:rFonts w:ascii="Arial" w:eastAsia="Arial" w:hAnsi="Arial" w:cs="Arial"/>
          <w:sz w:val="22"/>
          <w:szCs w:val="22"/>
          <w:lang w:val="en-CA"/>
        </w:rPr>
        <w:t>4</w:t>
      </w:r>
      <w:r w:rsidR="001001A4" w:rsidRPr="00D470B9">
        <w:rPr>
          <w:rFonts w:ascii="Arial" w:eastAsia="Arial" w:hAnsi="Arial" w:cs="Arial"/>
          <w:sz w:val="22"/>
          <w:szCs w:val="22"/>
          <w:lang w:val="en-CA"/>
        </w:rPr>
        <w:t xml:space="preserve">, </w:t>
      </w:r>
      <w:hyperlink r:id="rId39" w:history="1">
        <w:r w:rsidR="009628EC" w:rsidRPr="005F420B">
          <w:rPr>
            <w:rStyle w:val="Hyperlink"/>
            <w:rFonts w:ascii="Arial" w:hAnsi="Arial" w:cs="Arial"/>
            <w:color w:val="4472C4" w:themeColor="accent1"/>
            <w:sz w:val="22"/>
            <w:szCs w:val="22"/>
            <w:lang w:val="en-CA"/>
          </w:rPr>
          <w:t>Link</w:t>
        </w:r>
        <w:r w:rsidR="001001A4" w:rsidRPr="005F420B">
          <w:rPr>
            <w:rStyle w:val="Hyperlink"/>
            <w:rFonts w:ascii="Arial" w:hAnsi="Arial" w:cs="Arial"/>
            <w:color w:val="4472C4" w:themeColor="accent1"/>
            <w:sz w:val="22"/>
            <w:szCs w:val="22"/>
            <w:lang w:val="en-CA"/>
          </w:rPr>
          <w:t>.</w:t>
        </w:r>
      </w:hyperlink>
    </w:p>
    <w:p w14:paraId="5AE92DCE" w14:textId="6B660FB5" w:rsidR="001001A4" w:rsidRPr="00F04C53" w:rsidRDefault="00D470B9"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30% of SVOD viewing time goes to content from the European Union plus UK</w:t>
      </w:r>
      <w:r w:rsidR="001001A4" w:rsidRPr="00F04C53">
        <w:rPr>
          <w:rFonts w:ascii="Arial" w:eastAsia="Arial" w:hAnsi="Arial" w:cs="Arial"/>
          <w:sz w:val="22"/>
          <w:szCs w:val="22"/>
          <w:lang w:val="en-CA"/>
        </w:rPr>
        <w:t xml:space="preserve">, </w:t>
      </w:r>
      <w:r>
        <w:rPr>
          <w:rFonts w:ascii="Arial" w:eastAsia="Arial" w:hAnsi="Arial" w:cs="Arial"/>
          <w:i/>
          <w:iCs/>
          <w:sz w:val="22"/>
          <w:szCs w:val="22"/>
          <w:lang w:val="en-CA"/>
        </w:rPr>
        <w:t>EAO</w:t>
      </w:r>
      <w:r w:rsidR="001001A4" w:rsidRPr="00F04C53">
        <w:rPr>
          <w:rFonts w:ascii="Arial" w:eastAsia="Arial" w:hAnsi="Arial" w:cs="Arial"/>
          <w:i/>
          <w:iCs/>
          <w:sz w:val="22"/>
          <w:szCs w:val="22"/>
          <w:lang w:val="en-CA"/>
        </w:rPr>
        <w:t xml:space="preserve">, </w:t>
      </w:r>
      <w:r>
        <w:rPr>
          <w:rFonts w:ascii="Arial" w:eastAsia="Arial" w:hAnsi="Arial" w:cs="Arial"/>
          <w:sz w:val="22"/>
          <w:szCs w:val="22"/>
          <w:lang w:val="en-CA"/>
        </w:rPr>
        <w:t>28</w:t>
      </w:r>
      <w:r w:rsidR="00D0197E" w:rsidRPr="00F04C53">
        <w:rPr>
          <w:rFonts w:ascii="Arial" w:eastAsia="Arial" w:hAnsi="Arial" w:cs="Arial"/>
          <w:sz w:val="22"/>
          <w:szCs w:val="22"/>
          <w:lang w:val="en-CA"/>
        </w:rPr>
        <w:t xml:space="preserve"> </w:t>
      </w:r>
      <w:r>
        <w:rPr>
          <w:rFonts w:ascii="Arial" w:eastAsia="Arial" w:hAnsi="Arial" w:cs="Arial"/>
          <w:sz w:val="22"/>
          <w:szCs w:val="22"/>
          <w:lang w:val="en-CA"/>
        </w:rPr>
        <w:t>March</w:t>
      </w:r>
      <w:r w:rsidR="001001A4" w:rsidRPr="00F04C53">
        <w:rPr>
          <w:rFonts w:ascii="Arial" w:eastAsia="Arial" w:hAnsi="Arial" w:cs="Arial"/>
          <w:sz w:val="22"/>
          <w:szCs w:val="22"/>
          <w:lang w:val="en-CA"/>
        </w:rPr>
        <w:t xml:space="preserve"> 202</w:t>
      </w:r>
      <w:r w:rsidR="003268E6" w:rsidRPr="00F04C53">
        <w:rPr>
          <w:rFonts w:ascii="Arial" w:eastAsia="Arial" w:hAnsi="Arial" w:cs="Arial"/>
          <w:sz w:val="22"/>
          <w:szCs w:val="22"/>
          <w:lang w:val="en-CA"/>
        </w:rPr>
        <w:t>4</w:t>
      </w:r>
      <w:r w:rsidR="001001A4" w:rsidRPr="00F04C53">
        <w:rPr>
          <w:rFonts w:ascii="Arial" w:eastAsia="Arial" w:hAnsi="Arial" w:cs="Arial"/>
          <w:sz w:val="22"/>
          <w:szCs w:val="22"/>
          <w:lang w:val="en-CA"/>
        </w:rPr>
        <w:t xml:space="preserve">, </w:t>
      </w:r>
      <w:hyperlink r:id="rId40" w:history="1">
        <w:r w:rsidR="009628EC" w:rsidRPr="005F420B">
          <w:rPr>
            <w:rStyle w:val="Hyperlink"/>
            <w:rFonts w:ascii="Arial" w:eastAsia="Arial" w:hAnsi="Arial" w:cs="Arial"/>
            <w:color w:val="4472C4" w:themeColor="accent1"/>
            <w:sz w:val="22"/>
            <w:szCs w:val="22"/>
            <w:lang w:val="en-CA"/>
          </w:rPr>
          <w:t>Link</w:t>
        </w:r>
        <w:r w:rsidR="001001A4" w:rsidRPr="005F420B">
          <w:rPr>
            <w:rStyle w:val="Hyperlink"/>
            <w:rFonts w:ascii="Arial" w:eastAsia="Arial" w:hAnsi="Arial" w:cs="Arial"/>
            <w:color w:val="4472C4" w:themeColor="accent1"/>
            <w:sz w:val="22"/>
            <w:szCs w:val="22"/>
            <w:lang w:val="en-CA"/>
          </w:rPr>
          <w:t>.</w:t>
        </w:r>
      </w:hyperlink>
    </w:p>
    <w:p w14:paraId="588F93C8" w14:textId="37EE6CAC" w:rsidR="003268E6" w:rsidRPr="00F04C53" w:rsidRDefault="00D470B9" w:rsidP="009D076C">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AI Act’s global effects might be overstated, experts say</w:t>
      </w:r>
      <w:r w:rsidR="003268E6" w:rsidRPr="00F04C53">
        <w:rPr>
          <w:rFonts w:ascii="Arial" w:eastAsia="Arial" w:hAnsi="Arial" w:cs="Arial"/>
          <w:sz w:val="22"/>
          <w:szCs w:val="22"/>
          <w:lang w:val="en-CA"/>
        </w:rPr>
        <w:t>,</w:t>
      </w:r>
      <w:r w:rsidR="00613A4F" w:rsidRPr="00F04C53">
        <w:rPr>
          <w:rFonts w:ascii="Arial" w:eastAsia="Arial" w:hAnsi="Arial" w:cs="Arial"/>
          <w:sz w:val="22"/>
          <w:szCs w:val="22"/>
          <w:lang w:val="en-CA"/>
        </w:rPr>
        <w:t xml:space="preserve"> </w:t>
      </w:r>
      <w:r>
        <w:rPr>
          <w:rFonts w:ascii="Arial" w:eastAsia="Arial" w:hAnsi="Arial" w:cs="Arial"/>
          <w:i/>
          <w:iCs/>
          <w:sz w:val="22"/>
          <w:szCs w:val="22"/>
          <w:lang w:val="en-CA"/>
        </w:rPr>
        <w:t>EURACTIV</w:t>
      </w:r>
      <w:r w:rsidR="003268E6" w:rsidRPr="00F04C53">
        <w:rPr>
          <w:rFonts w:ascii="Arial" w:eastAsia="Arial" w:hAnsi="Arial" w:cs="Arial"/>
          <w:i/>
          <w:iCs/>
          <w:sz w:val="22"/>
          <w:szCs w:val="22"/>
          <w:lang w:val="en-CA"/>
        </w:rPr>
        <w:t xml:space="preserve">, </w:t>
      </w:r>
      <w:r>
        <w:rPr>
          <w:rFonts w:ascii="Arial" w:eastAsia="Arial" w:hAnsi="Arial" w:cs="Arial"/>
          <w:sz w:val="22"/>
          <w:szCs w:val="22"/>
          <w:lang w:val="en-CA"/>
        </w:rPr>
        <w:t>21</w:t>
      </w:r>
      <w:r w:rsidR="003268E6" w:rsidRPr="00F04C53">
        <w:rPr>
          <w:rFonts w:ascii="Arial" w:eastAsia="Arial" w:hAnsi="Arial" w:cs="Arial"/>
          <w:sz w:val="22"/>
          <w:szCs w:val="22"/>
          <w:lang w:val="en-CA"/>
        </w:rPr>
        <w:t xml:space="preserve"> </w:t>
      </w:r>
      <w:r>
        <w:rPr>
          <w:rFonts w:ascii="Arial" w:eastAsia="Arial" w:hAnsi="Arial" w:cs="Arial"/>
          <w:sz w:val="22"/>
          <w:szCs w:val="22"/>
          <w:lang w:val="en-CA"/>
        </w:rPr>
        <w:t>March</w:t>
      </w:r>
      <w:r w:rsidR="003268E6" w:rsidRPr="00F04C53">
        <w:rPr>
          <w:rFonts w:ascii="Arial" w:eastAsia="Arial" w:hAnsi="Arial" w:cs="Arial"/>
          <w:sz w:val="22"/>
          <w:szCs w:val="22"/>
          <w:lang w:val="en-CA"/>
        </w:rPr>
        <w:t xml:space="preserve"> 2024, </w:t>
      </w:r>
      <w:hyperlink r:id="rId41" w:history="1">
        <w:r w:rsidR="009628EC" w:rsidRPr="00F04C53">
          <w:rPr>
            <w:rStyle w:val="Hyperlink"/>
            <w:rFonts w:ascii="Arial" w:eastAsia="Arial" w:hAnsi="Arial" w:cs="Arial"/>
            <w:sz w:val="22"/>
            <w:szCs w:val="22"/>
            <w:lang w:val="en-CA"/>
          </w:rPr>
          <w:t>Link</w:t>
        </w:r>
        <w:r w:rsidR="003268E6" w:rsidRPr="00F04C53">
          <w:rPr>
            <w:rStyle w:val="Hyperlink"/>
            <w:rFonts w:ascii="Arial" w:eastAsia="Arial" w:hAnsi="Arial" w:cs="Arial"/>
            <w:sz w:val="22"/>
            <w:szCs w:val="22"/>
            <w:lang w:val="en-CA"/>
          </w:rPr>
          <w:t>.</w:t>
        </w:r>
      </w:hyperlink>
    </w:p>
    <w:p w14:paraId="7D973D88" w14:textId="22A54DCC" w:rsidR="003268E6" w:rsidRPr="00F04C53" w:rsidRDefault="00D470B9"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IFPI Global Music Report: Global Recorded Music Revenues Grew 10.2% in 2023</w:t>
      </w:r>
      <w:r w:rsidR="003268E6" w:rsidRPr="00F04C53">
        <w:rPr>
          <w:rFonts w:ascii="Arial" w:eastAsia="Arial" w:hAnsi="Arial" w:cs="Arial"/>
          <w:sz w:val="22"/>
          <w:szCs w:val="22"/>
          <w:lang w:val="en-CA"/>
        </w:rPr>
        <w:t xml:space="preserve">, </w:t>
      </w:r>
      <w:r>
        <w:rPr>
          <w:rFonts w:ascii="Arial" w:eastAsia="Arial" w:hAnsi="Arial" w:cs="Arial"/>
          <w:i/>
          <w:iCs/>
          <w:sz w:val="22"/>
          <w:szCs w:val="22"/>
          <w:lang w:val="en-CA"/>
        </w:rPr>
        <w:t>IFPI</w:t>
      </w:r>
      <w:r w:rsidR="003268E6" w:rsidRPr="00F04C53">
        <w:rPr>
          <w:rFonts w:ascii="Arial" w:eastAsia="Arial" w:hAnsi="Arial" w:cs="Arial"/>
          <w:i/>
          <w:iCs/>
          <w:sz w:val="22"/>
          <w:szCs w:val="22"/>
          <w:lang w:val="en-CA"/>
        </w:rPr>
        <w:t xml:space="preserve">, </w:t>
      </w:r>
      <w:r w:rsidR="00613A4F" w:rsidRPr="00F04C53">
        <w:rPr>
          <w:rFonts w:ascii="Arial" w:eastAsia="Arial" w:hAnsi="Arial" w:cs="Arial"/>
          <w:sz w:val="22"/>
          <w:szCs w:val="22"/>
          <w:lang w:val="en-CA"/>
        </w:rPr>
        <w:t>2</w:t>
      </w:r>
      <w:r>
        <w:rPr>
          <w:rFonts w:ascii="Arial" w:eastAsia="Arial" w:hAnsi="Arial" w:cs="Arial"/>
          <w:sz w:val="22"/>
          <w:szCs w:val="22"/>
          <w:lang w:val="en-CA"/>
        </w:rPr>
        <w:t>1</w:t>
      </w:r>
      <w:r w:rsidR="00613A4F" w:rsidRPr="00F04C53">
        <w:rPr>
          <w:rFonts w:ascii="Arial" w:eastAsia="Arial" w:hAnsi="Arial" w:cs="Arial"/>
          <w:sz w:val="22"/>
          <w:szCs w:val="22"/>
          <w:lang w:val="en-CA"/>
        </w:rPr>
        <w:t xml:space="preserve"> </w:t>
      </w:r>
      <w:r>
        <w:rPr>
          <w:rFonts w:ascii="Arial" w:eastAsia="Arial" w:hAnsi="Arial" w:cs="Arial"/>
          <w:sz w:val="22"/>
          <w:szCs w:val="22"/>
          <w:lang w:val="en-CA"/>
        </w:rPr>
        <w:t>March</w:t>
      </w:r>
      <w:r w:rsidR="003268E6" w:rsidRPr="00F04C53">
        <w:rPr>
          <w:rFonts w:ascii="Arial" w:eastAsia="Arial" w:hAnsi="Arial" w:cs="Arial"/>
          <w:sz w:val="22"/>
          <w:szCs w:val="22"/>
          <w:lang w:val="en-CA"/>
        </w:rPr>
        <w:t xml:space="preserve"> 2024, </w:t>
      </w:r>
      <w:hyperlink r:id="rId42" w:history="1">
        <w:r w:rsidR="009628EC" w:rsidRPr="00F04C53">
          <w:rPr>
            <w:rStyle w:val="Hyperlink"/>
            <w:rFonts w:ascii="Arial" w:eastAsia="Arial" w:hAnsi="Arial" w:cs="Arial"/>
            <w:sz w:val="22"/>
            <w:szCs w:val="22"/>
            <w:lang w:val="en-CA"/>
          </w:rPr>
          <w:t>Link</w:t>
        </w:r>
        <w:r w:rsidR="003268E6" w:rsidRPr="00F04C53">
          <w:rPr>
            <w:rStyle w:val="Hyperlink"/>
            <w:rFonts w:ascii="Arial" w:eastAsia="Arial" w:hAnsi="Arial" w:cs="Arial"/>
            <w:sz w:val="22"/>
            <w:szCs w:val="22"/>
            <w:lang w:val="en-CA"/>
          </w:rPr>
          <w:t>.</w:t>
        </w:r>
      </w:hyperlink>
    </w:p>
    <w:p w14:paraId="69283EC1" w14:textId="06D9ED5A" w:rsidR="003268E6" w:rsidRPr="009D2613" w:rsidRDefault="00D470B9"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BBC studios buys ITV’s stake in streamer BritBox for 322 millions USD</w:t>
      </w:r>
      <w:r w:rsidR="00613A4F" w:rsidRPr="00F04C53">
        <w:rPr>
          <w:rFonts w:ascii="Arial" w:eastAsia="Arial" w:hAnsi="Arial" w:cs="Arial"/>
          <w:sz w:val="22"/>
          <w:szCs w:val="22"/>
          <w:lang w:val="en-CA"/>
        </w:rPr>
        <w:t>,</w:t>
      </w:r>
      <w:r w:rsidR="003268E6" w:rsidRPr="00F04C53">
        <w:rPr>
          <w:rFonts w:ascii="Arial" w:eastAsia="Arial" w:hAnsi="Arial" w:cs="Arial"/>
          <w:sz w:val="22"/>
          <w:szCs w:val="22"/>
          <w:lang w:val="en-CA"/>
        </w:rPr>
        <w:t xml:space="preserve"> </w:t>
      </w:r>
      <w:r w:rsidR="00613A4F" w:rsidRPr="00F04C53">
        <w:rPr>
          <w:rFonts w:ascii="Arial" w:eastAsia="Arial" w:hAnsi="Arial" w:cs="Arial"/>
          <w:i/>
          <w:iCs/>
          <w:sz w:val="22"/>
          <w:szCs w:val="22"/>
          <w:lang w:val="en-CA"/>
        </w:rPr>
        <w:t>Reuters</w:t>
      </w:r>
      <w:r w:rsidR="003268E6" w:rsidRPr="00F04C53">
        <w:rPr>
          <w:rFonts w:ascii="Arial" w:eastAsia="Arial" w:hAnsi="Arial" w:cs="Arial"/>
          <w:i/>
          <w:iCs/>
          <w:sz w:val="22"/>
          <w:szCs w:val="22"/>
          <w:lang w:val="en-CA"/>
        </w:rPr>
        <w:t xml:space="preserve">, </w:t>
      </w:r>
      <w:r w:rsidR="00613A4F" w:rsidRPr="00F04C53">
        <w:rPr>
          <w:rFonts w:ascii="Arial" w:eastAsia="Arial" w:hAnsi="Arial" w:cs="Arial"/>
          <w:sz w:val="22"/>
          <w:szCs w:val="22"/>
          <w:lang w:val="en-CA"/>
        </w:rPr>
        <w:t>2</w:t>
      </w:r>
      <w:r>
        <w:rPr>
          <w:rFonts w:ascii="Arial" w:eastAsia="Arial" w:hAnsi="Arial" w:cs="Arial"/>
          <w:sz w:val="22"/>
          <w:szCs w:val="22"/>
          <w:lang w:val="en-CA"/>
        </w:rPr>
        <w:t>9</w:t>
      </w:r>
      <w:r w:rsidR="003268E6" w:rsidRPr="00F04C53">
        <w:rPr>
          <w:rFonts w:ascii="Arial" w:eastAsia="Arial" w:hAnsi="Arial" w:cs="Arial"/>
          <w:sz w:val="22"/>
          <w:szCs w:val="22"/>
          <w:lang w:val="en-CA"/>
        </w:rPr>
        <w:t xml:space="preserve"> February 2024, </w:t>
      </w:r>
      <w:hyperlink r:id="rId43" w:history="1">
        <w:r w:rsidR="009628EC" w:rsidRPr="00F04C53">
          <w:rPr>
            <w:rStyle w:val="Hyperlink"/>
            <w:rFonts w:ascii="Arial" w:eastAsia="Arial" w:hAnsi="Arial" w:cs="Arial"/>
            <w:sz w:val="22"/>
            <w:szCs w:val="22"/>
            <w:lang w:val="en-CA"/>
          </w:rPr>
          <w:t>Link</w:t>
        </w:r>
        <w:r w:rsidR="003268E6" w:rsidRPr="00F04C53">
          <w:rPr>
            <w:rStyle w:val="Hyperlink"/>
            <w:rFonts w:ascii="Arial" w:eastAsia="Arial" w:hAnsi="Arial" w:cs="Arial"/>
            <w:sz w:val="22"/>
            <w:szCs w:val="22"/>
            <w:lang w:val="en-CA"/>
          </w:rPr>
          <w:t>.</w:t>
        </w:r>
      </w:hyperlink>
    </w:p>
    <w:p w14:paraId="71735814" w14:textId="2A743CB5" w:rsidR="009D2613" w:rsidRDefault="009D2613" w:rsidP="009D076C">
      <w:pPr>
        <w:numPr>
          <w:ilvl w:val="0"/>
          <w:numId w:val="1"/>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BBC, ITV, Channel 4, Channel 5-backed free streaming service Freely sets second quarter launch, </w:t>
      </w:r>
      <w:r>
        <w:rPr>
          <w:rFonts w:ascii="Arial" w:eastAsia="Arial" w:hAnsi="Arial" w:cs="Arial"/>
          <w:i/>
          <w:sz w:val="22"/>
          <w:szCs w:val="22"/>
          <w:lang w:val="en-CA"/>
        </w:rPr>
        <w:t xml:space="preserve">Variety, </w:t>
      </w:r>
      <w:r>
        <w:rPr>
          <w:rFonts w:ascii="Arial" w:eastAsia="Arial" w:hAnsi="Arial" w:cs="Arial"/>
          <w:sz w:val="22"/>
          <w:szCs w:val="22"/>
          <w:lang w:val="en-CA"/>
        </w:rPr>
        <w:t xml:space="preserve">5 February 2024, </w:t>
      </w:r>
      <w:hyperlink r:id="rId44" w:history="1">
        <w:r w:rsidRPr="009D2613">
          <w:rPr>
            <w:rStyle w:val="Hyperlink"/>
            <w:rFonts w:ascii="Arial" w:eastAsia="Arial" w:hAnsi="Arial" w:cs="Arial"/>
            <w:sz w:val="22"/>
            <w:szCs w:val="22"/>
            <w:lang w:val="en-CA"/>
          </w:rPr>
          <w:t>Link.</w:t>
        </w:r>
      </w:hyperlink>
    </w:p>
    <w:p w14:paraId="14F1C8C6" w14:textId="3472A1A1" w:rsidR="009D2613" w:rsidRPr="009D2613" w:rsidRDefault="009D2613" w:rsidP="009D076C">
      <w:pPr>
        <w:numPr>
          <w:ilvl w:val="0"/>
          <w:numId w:val="1"/>
        </w:numPr>
        <w:pBdr>
          <w:top w:val="nil"/>
          <w:left w:val="nil"/>
          <w:bottom w:val="nil"/>
          <w:right w:val="nil"/>
          <w:between w:val="nil"/>
        </w:pBdr>
        <w:spacing w:line="276" w:lineRule="auto"/>
        <w:ind w:left="851" w:right="856" w:hanging="284"/>
        <w:jc w:val="both"/>
        <w:rPr>
          <w:rStyle w:val="Hyperlink"/>
          <w:rFonts w:ascii="Arial" w:eastAsia="Arial" w:hAnsi="Arial" w:cs="Arial"/>
          <w:color w:val="auto"/>
          <w:sz w:val="22"/>
          <w:szCs w:val="22"/>
          <w:u w:val="none"/>
          <w:lang w:val="en-CA"/>
        </w:rPr>
      </w:pPr>
      <w:r>
        <w:rPr>
          <w:rFonts w:ascii="Arial" w:eastAsia="Arial" w:hAnsi="Arial" w:cs="Arial"/>
          <w:sz w:val="22"/>
          <w:szCs w:val="22"/>
          <w:lang w:val="en-CA"/>
        </w:rPr>
        <w:t xml:space="preserve">The Disney Plus-Hulu merger is way more than a streaming bundle, </w:t>
      </w:r>
      <w:r>
        <w:rPr>
          <w:rFonts w:ascii="Arial" w:eastAsia="Arial" w:hAnsi="Arial" w:cs="Arial"/>
          <w:i/>
          <w:sz w:val="22"/>
          <w:szCs w:val="22"/>
          <w:lang w:val="en-CA"/>
        </w:rPr>
        <w:t xml:space="preserve">The Verge, </w:t>
      </w:r>
      <w:r>
        <w:rPr>
          <w:rFonts w:ascii="Arial" w:eastAsia="Arial" w:hAnsi="Arial" w:cs="Arial"/>
          <w:sz w:val="22"/>
          <w:szCs w:val="22"/>
          <w:lang w:val="en-CA"/>
        </w:rPr>
        <w:t xml:space="preserve">27 March 2024, </w:t>
      </w:r>
      <w:hyperlink r:id="rId45" w:history="1">
        <w:r w:rsidRPr="009D2613">
          <w:rPr>
            <w:rStyle w:val="Hyperlink"/>
            <w:rFonts w:ascii="Arial" w:eastAsia="Arial" w:hAnsi="Arial" w:cs="Arial"/>
            <w:sz w:val="22"/>
            <w:szCs w:val="22"/>
            <w:lang w:val="en-CA"/>
          </w:rPr>
          <w:t>Link.</w:t>
        </w:r>
      </w:hyperlink>
    </w:p>
    <w:p w14:paraId="4ED2C4EF" w14:textId="77777777" w:rsidR="009D2613" w:rsidRPr="00F04C53" w:rsidRDefault="009D2613"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18DFB118" w14:textId="74150E36" w:rsidR="003268E6" w:rsidRPr="00F04C53" w:rsidRDefault="003268E6" w:rsidP="009D2613">
      <w:pPr>
        <w:pBdr>
          <w:top w:val="nil"/>
          <w:left w:val="nil"/>
          <w:bottom w:val="nil"/>
          <w:right w:val="nil"/>
          <w:between w:val="nil"/>
        </w:pBdr>
        <w:spacing w:line="276" w:lineRule="auto"/>
        <w:ind w:right="856"/>
        <w:jc w:val="both"/>
        <w:rPr>
          <w:rFonts w:ascii="Arial" w:eastAsia="Arial" w:hAnsi="Arial" w:cs="Arial"/>
          <w:sz w:val="22"/>
          <w:szCs w:val="22"/>
          <w:lang w:val="en-CA"/>
        </w:rPr>
      </w:pPr>
    </w:p>
    <w:p w14:paraId="34768424" w14:textId="1F57DAA2" w:rsidR="00E04F7C" w:rsidRPr="00F04C53" w:rsidRDefault="00E04F7C" w:rsidP="009D2613">
      <w:pPr>
        <w:pBdr>
          <w:top w:val="nil"/>
          <w:left w:val="nil"/>
          <w:bottom w:val="nil"/>
          <w:right w:val="nil"/>
          <w:between w:val="nil"/>
        </w:pBdr>
        <w:spacing w:line="276" w:lineRule="auto"/>
        <w:ind w:left="567" w:right="856"/>
        <w:jc w:val="both"/>
        <w:rPr>
          <w:rFonts w:ascii="Arial" w:eastAsia="Arial" w:hAnsi="Arial" w:cs="Arial"/>
          <w:sz w:val="22"/>
          <w:szCs w:val="22"/>
          <w:lang w:val="en-CA"/>
        </w:rPr>
      </w:pPr>
    </w:p>
    <w:p w14:paraId="4F1271D8" w14:textId="77777777" w:rsidR="00A02A76" w:rsidRPr="00F04C53" w:rsidRDefault="00A02A76" w:rsidP="00A02A76">
      <w:pPr>
        <w:pBdr>
          <w:top w:val="nil"/>
          <w:left w:val="nil"/>
          <w:bottom w:val="nil"/>
          <w:right w:val="nil"/>
          <w:between w:val="nil"/>
        </w:pBdr>
        <w:spacing w:line="276" w:lineRule="auto"/>
        <w:ind w:right="856"/>
        <w:jc w:val="both"/>
        <w:rPr>
          <w:rFonts w:ascii="Arial" w:eastAsia="Arial" w:hAnsi="Arial" w:cs="Arial"/>
          <w:sz w:val="22"/>
          <w:szCs w:val="22"/>
          <w:lang w:val="en-CA"/>
        </w:rPr>
      </w:pPr>
    </w:p>
    <w:p w14:paraId="12265346" w14:textId="77777777" w:rsidR="00D57E22" w:rsidRPr="00F04C53" w:rsidRDefault="00D57E22" w:rsidP="009D076C">
      <w:pPr>
        <w:pBdr>
          <w:top w:val="nil"/>
          <w:left w:val="nil"/>
          <w:bottom w:val="nil"/>
          <w:right w:val="nil"/>
          <w:between w:val="nil"/>
        </w:pBdr>
        <w:spacing w:line="276" w:lineRule="auto"/>
        <w:ind w:right="856"/>
        <w:jc w:val="both"/>
        <w:rPr>
          <w:rFonts w:ascii="Arial" w:eastAsia="Arial" w:hAnsi="Arial" w:cs="Arial"/>
          <w:sz w:val="22"/>
          <w:szCs w:val="22"/>
          <w:lang w:val="en-CA"/>
        </w:rPr>
      </w:pPr>
    </w:p>
    <w:p w14:paraId="6355695D" w14:textId="77777777" w:rsidR="00D57E22" w:rsidRPr="00F04C53" w:rsidRDefault="00D57E22" w:rsidP="009D076C">
      <w:pPr>
        <w:spacing w:before="360" w:after="80" w:line="276" w:lineRule="auto"/>
        <w:ind w:right="856"/>
        <w:jc w:val="both"/>
        <w:rPr>
          <w:rFonts w:ascii="Arial" w:eastAsia="Arial" w:hAnsi="Arial" w:cs="Arial"/>
          <w:sz w:val="22"/>
          <w:szCs w:val="22"/>
          <w:lang w:val="en-CA"/>
        </w:rPr>
      </w:pPr>
      <w:bookmarkStart w:id="0" w:name="_heading=h.gjdgxs" w:colFirst="0" w:colLast="0"/>
      <w:bookmarkEnd w:id="0"/>
    </w:p>
    <w:p w14:paraId="7CBDA897" w14:textId="77777777" w:rsidR="00A02A76" w:rsidRPr="00F04C53" w:rsidRDefault="00A02A76" w:rsidP="009D076C">
      <w:pPr>
        <w:spacing w:before="360" w:after="80" w:line="276" w:lineRule="auto"/>
        <w:ind w:right="856"/>
        <w:jc w:val="both"/>
        <w:rPr>
          <w:rFonts w:ascii="Arial" w:eastAsia="Arial" w:hAnsi="Arial" w:cs="Arial"/>
          <w:sz w:val="22"/>
          <w:szCs w:val="22"/>
          <w:lang w:val="en-CA"/>
        </w:rPr>
      </w:pPr>
    </w:p>
    <w:p w14:paraId="0E92794E" w14:textId="77777777" w:rsidR="00A02A76" w:rsidRPr="00F04C53" w:rsidRDefault="00A02A76" w:rsidP="009D076C">
      <w:pPr>
        <w:spacing w:before="360" w:after="80" w:line="276" w:lineRule="auto"/>
        <w:ind w:right="856"/>
        <w:jc w:val="both"/>
        <w:rPr>
          <w:rFonts w:ascii="Arial" w:eastAsia="Arial" w:hAnsi="Arial" w:cs="Arial"/>
          <w:sz w:val="22"/>
          <w:szCs w:val="22"/>
          <w:lang w:val="en-CA"/>
        </w:rPr>
      </w:pPr>
    </w:p>
    <w:p w14:paraId="48C37014" w14:textId="77777777" w:rsidR="00D57E22" w:rsidRPr="00F04C53" w:rsidRDefault="00D57E22" w:rsidP="009D076C">
      <w:pPr>
        <w:spacing w:before="360" w:after="80" w:line="276" w:lineRule="auto"/>
        <w:ind w:right="856"/>
        <w:jc w:val="both"/>
        <w:rPr>
          <w:rFonts w:ascii="Arial" w:eastAsia="Arial" w:hAnsi="Arial" w:cs="Arial"/>
          <w:sz w:val="22"/>
          <w:szCs w:val="22"/>
          <w:lang w:val="en-CA"/>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C48DC" w:rsidRPr="00F04C53" w14:paraId="4CA6286A" w14:textId="77777777">
        <w:trPr>
          <w:trHeight w:val="2259"/>
        </w:trPr>
        <w:tc>
          <w:tcPr>
            <w:tcW w:w="9350" w:type="dxa"/>
            <w:shd w:val="clear" w:color="auto" w:fill="FBE5D5"/>
          </w:tcPr>
          <w:p w14:paraId="0CAF9BFD" w14:textId="77777777" w:rsidR="00D57E22" w:rsidRPr="00770B38" w:rsidRDefault="00FD4196" w:rsidP="009D076C">
            <w:pPr>
              <w:jc w:val="both"/>
              <w:rPr>
                <w:rFonts w:ascii="Arial" w:eastAsia="Arial" w:hAnsi="Arial" w:cs="Arial"/>
                <w:sz w:val="32"/>
                <w:szCs w:val="32"/>
              </w:rPr>
            </w:pPr>
            <w:r w:rsidRPr="00770B38">
              <w:rPr>
                <w:rFonts w:ascii="Arial" w:eastAsia="Arial" w:hAnsi="Arial" w:cs="Arial"/>
                <w:sz w:val="32"/>
                <w:szCs w:val="32"/>
              </w:rPr>
              <w:t xml:space="preserve">Direction </w:t>
            </w:r>
          </w:p>
          <w:p w14:paraId="480001E4" w14:textId="77777777" w:rsidR="00D57E22" w:rsidRPr="00770B38" w:rsidRDefault="00FD4196" w:rsidP="009D076C">
            <w:pPr>
              <w:jc w:val="both"/>
              <w:rPr>
                <w:rFonts w:ascii="Arial" w:eastAsia="Arial" w:hAnsi="Arial" w:cs="Arial"/>
              </w:rPr>
            </w:pPr>
            <w:r w:rsidRPr="00770B38">
              <w:rPr>
                <w:rFonts w:ascii="Arial" w:eastAsia="Arial" w:hAnsi="Arial" w:cs="Arial"/>
                <w:b/>
              </w:rPr>
              <w:t>Gilbert Gagné</w:t>
            </w:r>
            <w:r w:rsidRPr="00770B38">
              <w:rPr>
                <w:rFonts w:ascii="Arial" w:eastAsia="Arial" w:hAnsi="Arial" w:cs="Arial"/>
              </w:rPr>
              <w:t xml:space="preserve">, </w:t>
            </w:r>
            <w:r w:rsidRPr="00770B38">
              <w:rPr>
                <w:rFonts w:ascii="Arial" w:eastAsia="Arial" w:hAnsi="Arial" w:cs="Arial"/>
                <w:sz w:val="19"/>
                <w:szCs w:val="19"/>
              </w:rPr>
              <w:t>chercheur au CEIM et directeur du Groupe de recherche sur l’intégration continentale (GRIC).</w:t>
            </w:r>
          </w:p>
          <w:p w14:paraId="43555E85" w14:textId="77777777" w:rsidR="00D57E22" w:rsidRPr="00770B38" w:rsidRDefault="00D57E22" w:rsidP="009D076C">
            <w:pPr>
              <w:ind w:right="-6"/>
              <w:jc w:val="both"/>
              <w:rPr>
                <w:rFonts w:ascii="Arial" w:eastAsia="Arial" w:hAnsi="Arial" w:cs="Arial"/>
                <w:sz w:val="32"/>
                <w:szCs w:val="32"/>
              </w:rPr>
            </w:pPr>
          </w:p>
          <w:p w14:paraId="3D17F43A" w14:textId="77777777" w:rsidR="00D57E22" w:rsidRPr="00770B38" w:rsidRDefault="00FD4196" w:rsidP="009D076C">
            <w:pPr>
              <w:ind w:right="-6"/>
              <w:jc w:val="both"/>
              <w:rPr>
                <w:rFonts w:ascii="Arial" w:eastAsia="Arial" w:hAnsi="Arial" w:cs="Arial"/>
                <w:sz w:val="32"/>
                <w:szCs w:val="32"/>
              </w:rPr>
            </w:pPr>
            <w:r w:rsidRPr="00770B38">
              <w:rPr>
                <w:rFonts w:ascii="Arial" w:eastAsia="Arial" w:hAnsi="Arial" w:cs="Arial"/>
                <w:sz w:val="32"/>
                <w:szCs w:val="32"/>
              </w:rPr>
              <w:t>Rédaction</w:t>
            </w:r>
          </w:p>
          <w:p w14:paraId="5B011BBA" w14:textId="77777777" w:rsidR="00D57E22" w:rsidRPr="00770B38" w:rsidRDefault="00FD4196" w:rsidP="009D076C">
            <w:pPr>
              <w:ind w:right="-6"/>
              <w:jc w:val="both"/>
              <w:rPr>
                <w:rFonts w:ascii="Arial" w:eastAsia="Arial" w:hAnsi="Arial" w:cs="Arial"/>
                <w:sz w:val="32"/>
                <w:szCs w:val="32"/>
              </w:rPr>
            </w:pPr>
            <w:r w:rsidRPr="00770B38">
              <w:rPr>
                <w:rFonts w:ascii="Arial" w:eastAsia="Arial" w:hAnsi="Arial" w:cs="Arial"/>
                <w:b/>
              </w:rPr>
              <w:t>Antonios Vlassis</w:t>
            </w:r>
            <w:r w:rsidRPr="00770B38">
              <w:rPr>
                <w:rFonts w:ascii="Arial" w:eastAsia="Arial" w:hAnsi="Arial" w:cs="Arial"/>
              </w:rPr>
              <w:t>,</w:t>
            </w:r>
            <w:r w:rsidRPr="00770B38">
              <w:rPr>
                <w:rFonts w:ascii="Arial" w:eastAsia="Arial" w:hAnsi="Arial" w:cs="Arial"/>
                <w:sz w:val="19"/>
                <w:szCs w:val="19"/>
              </w:rPr>
              <w:t xml:space="preserve"> professeur associé et chercheur, Center for International Relations Studies (CEFIR)-Département de Science Politique, Université de Liège, membre au CEIM, </w:t>
            </w:r>
            <w:hyperlink r:id="rId46">
              <w:r w:rsidRPr="00770B38">
                <w:rPr>
                  <w:rFonts w:ascii="Arial" w:eastAsia="Arial" w:hAnsi="Arial" w:cs="Arial"/>
                  <w:sz w:val="19"/>
                  <w:szCs w:val="19"/>
                  <w:u w:val="single"/>
                </w:rPr>
                <w:t>avlassis@uliege.be</w:t>
              </w:r>
            </w:hyperlink>
            <w:r w:rsidRPr="00770B38">
              <w:rPr>
                <w:rFonts w:ascii="Arial" w:eastAsia="Arial" w:hAnsi="Arial" w:cs="Arial"/>
                <w:sz w:val="19"/>
                <w:szCs w:val="19"/>
              </w:rPr>
              <w:t xml:space="preserve"> </w:t>
            </w:r>
          </w:p>
          <w:p w14:paraId="5491936C" w14:textId="77777777" w:rsidR="00D57E22" w:rsidRPr="00770B38" w:rsidRDefault="00D57E22" w:rsidP="009D076C">
            <w:pPr>
              <w:spacing w:after="240"/>
              <w:ind w:right="-6"/>
              <w:jc w:val="both"/>
              <w:rPr>
                <w:rFonts w:ascii="Arial" w:eastAsia="Arial" w:hAnsi="Arial" w:cs="Arial"/>
                <w:sz w:val="32"/>
                <w:szCs w:val="32"/>
              </w:rPr>
            </w:pPr>
          </w:p>
          <w:p w14:paraId="6FD182CE" w14:textId="77777777" w:rsidR="00D57E22" w:rsidRPr="00770B38" w:rsidRDefault="00FD4196" w:rsidP="009D076C">
            <w:pPr>
              <w:rPr>
                <w:rFonts w:ascii="Arial" w:eastAsia="Arial" w:hAnsi="Arial" w:cs="Arial"/>
              </w:rPr>
            </w:pPr>
            <w:r w:rsidRPr="00770B38">
              <w:rPr>
                <w:rFonts w:ascii="Arial" w:eastAsia="Arial" w:hAnsi="Arial" w:cs="Arial"/>
                <w:sz w:val="32"/>
                <w:szCs w:val="32"/>
              </w:rPr>
              <w:t xml:space="preserve">Centre d’études </w:t>
            </w:r>
            <w:r w:rsidRPr="00770B38">
              <w:rPr>
                <w:rFonts w:ascii="Arial" w:eastAsia="Arial" w:hAnsi="Arial" w:cs="Arial"/>
                <w:sz w:val="32"/>
                <w:szCs w:val="32"/>
              </w:rPr>
              <w:br/>
              <w:t xml:space="preserve">sur l’intégration </w:t>
            </w:r>
            <w:r w:rsidRPr="00770B38">
              <w:rPr>
                <w:rFonts w:ascii="Arial" w:eastAsia="Arial" w:hAnsi="Arial" w:cs="Arial"/>
                <w:sz w:val="32"/>
                <w:szCs w:val="32"/>
              </w:rPr>
              <w:br/>
              <w:t>et la mondialisation</w:t>
            </w:r>
          </w:p>
          <w:p w14:paraId="5393FA3E" w14:textId="77777777" w:rsidR="00D57E22" w:rsidRPr="00770B38" w:rsidRDefault="00FD4196" w:rsidP="009D076C">
            <w:pPr>
              <w:rPr>
                <w:rFonts w:ascii="Arial" w:eastAsia="Arial" w:hAnsi="Arial" w:cs="Arial"/>
              </w:rPr>
            </w:pPr>
            <w:r w:rsidRPr="00770B38">
              <w:rPr>
                <w:rFonts w:ascii="Arial" w:eastAsia="Arial" w:hAnsi="Arial" w:cs="Arial"/>
                <w:b/>
              </w:rPr>
              <w:t xml:space="preserve">Adresse civique : </w:t>
            </w:r>
            <w:r w:rsidRPr="00770B38">
              <w:rPr>
                <w:rFonts w:ascii="Arial" w:eastAsia="Arial" w:hAnsi="Arial" w:cs="Arial"/>
              </w:rPr>
              <w:t>UQAM, 400, rue Sainte-Catherine Est, Pavillon Hubert-Aquin, bureau A-1560</w:t>
            </w:r>
            <w:r w:rsidRPr="00770B38">
              <w:rPr>
                <w:rFonts w:ascii="Arial" w:eastAsia="Arial" w:hAnsi="Arial" w:cs="Arial"/>
              </w:rPr>
              <w:br/>
              <w:t>Montréal (Québec)  H2L 2C5  CANADA</w:t>
            </w:r>
          </w:p>
          <w:p w14:paraId="6EF3FB74" w14:textId="77777777" w:rsidR="00D57E22" w:rsidRPr="00770B38" w:rsidRDefault="00FD4196" w:rsidP="009D076C">
            <w:pPr>
              <w:rPr>
                <w:rFonts w:ascii="Arial" w:eastAsia="Arial" w:hAnsi="Arial" w:cs="Arial"/>
              </w:rPr>
            </w:pPr>
            <w:r w:rsidRPr="00770B38">
              <w:rPr>
                <w:rFonts w:ascii="Arial" w:eastAsia="Arial" w:hAnsi="Arial" w:cs="Arial"/>
                <w:b/>
              </w:rPr>
              <w:t xml:space="preserve">Adresse postale : </w:t>
            </w:r>
            <w:r w:rsidRPr="00770B38">
              <w:rPr>
                <w:rFonts w:ascii="Arial" w:eastAsia="Arial" w:hAnsi="Arial" w:cs="Arial"/>
              </w:rPr>
              <w:t>Université du Québec à Montréal, Case postale 8888, succ. Centre-Ville, Montréal (Québec)  H3C 3P8  CANADA</w:t>
            </w:r>
          </w:p>
          <w:p w14:paraId="210296AA" w14:textId="77777777" w:rsidR="00D57E22" w:rsidRPr="00770B38" w:rsidRDefault="00FD4196" w:rsidP="009D076C">
            <w:pPr>
              <w:rPr>
                <w:rFonts w:ascii="Arial" w:eastAsia="Arial" w:hAnsi="Arial" w:cs="Arial"/>
              </w:rPr>
            </w:pPr>
            <w:r w:rsidRPr="00770B38">
              <w:rPr>
                <w:rFonts w:ascii="Arial" w:eastAsia="Arial" w:hAnsi="Arial" w:cs="Arial"/>
              </w:rPr>
              <w:t>Téléphone : 514 987-3000, poste 3910</w:t>
            </w:r>
            <w:r w:rsidRPr="00770B38">
              <w:rPr>
                <w:rFonts w:ascii="Arial" w:eastAsia="Arial" w:hAnsi="Arial" w:cs="Arial"/>
              </w:rPr>
              <w:br/>
              <w:t>Télécopieur : 514 987-0397</w:t>
            </w:r>
          </w:p>
          <w:p w14:paraId="7B5AC575" w14:textId="77777777" w:rsidR="00D57E22" w:rsidRPr="00770B38" w:rsidRDefault="00FD4196" w:rsidP="009D076C">
            <w:pPr>
              <w:rPr>
                <w:rFonts w:ascii="Arial" w:eastAsia="Arial" w:hAnsi="Arial" w:cs="Arial"/>
              </w:rPr>
            </w:pPr>
            <w:r w:rsidRPr="00770B38">
              <w:rPr>
                <w:rFonts w:ascii="Arial" w:eastAsia="Arial" w:hAnsi="Arial" w:cs="Arial"/>
              </w:rPr>
              <w:t xml:space="preserve">Courriel : </w:t>
            </w:r>
            <w:hyperlink r:id="rId47">
              <w:r w:rsidRPr="00770B38">
                <w:rPr>
                  <w:rFonts w:ascii="Arial" w:eastAsia="Arial" w:hAnsi="Arial" w:cs="Arial"/>
                  <w:sz w:val="20"/>
                  <w:szCs w:val="20"/>
                  <w:u w:val="single"/>
                </w:rPr>
                <w:t>ceim@uqam.ca</w:t>
              </w:r>
            </w:hyperlink>
            <w:r w:rsidRPr="00770B38">
              <w:rPr>
                <w:rFonts w:ascii="Arial" w:eastAsia="Arial" w:hAnsi="Arial" w:cs="Arial"/>
              </w:rPr>
              <w:br/>
              <w:t xml:space="preserve">Site web : </w:t>
            </w:r>
            <w:hyperlink r:id="rId48">
              <w:r w:rsidRPr="00770B38">
                <w:rPr>
                  <w:rFonts w:ascii="Arial" w:eastAsia="Arial" w:hAnsi="Arial" w:cs="Arial"/>
                  <w:sz w:val="20"/>
                  <w:szCs w:val="20"/>
                  <w:u w:val="single"/>
                </w:rPr>
                <w:t>www.ceim.uqam.ca</w:t>
              </w:r>
            </w:hyperlink>
            <w:r w:rsidRPr="00770B38">
              <w:rPr>
                <w:rFonts w:ascii="Arial" w:eastAsia="Arial" w:hAnsi="Arial" w:cs="Arial"/>
              </w:rPr>
              <w:t xml:space="preserve"> </w:t>
            </w:r>
          </w:p>
          <w:p w14:paraId="64560134" w14:textId="77777777" w:rsidR="00D57E22" w:rsidRPr="00770B38" w:rsidRDefault="00FD4196" w:rsidP="009D076C">
            <w:pPr>
              <w:rPr>
                <w:rFonts w:ascii="Arial" w:eastAsia="Arial" w:hAnsi="Arial" w:cs="Arial"/>
                <w:sz w:val="32"/>
                <w:szCs w:val="32"/>
              </w:rPr>
            </w:pPr>
            <w:r w:rsidRPr="00770B38">
              <w:rPr>
                <w:rFonts w:ascii="Arial" w:eastAsia="Arial" w:hAnsi="Arial" w:cs="Arial"/>
              </w:rPr>
              <w:br/>
            </w:r>
          </w:p>
          <w:p w14:paraId="527910B7" w14:textId="77777777" w:rsidR="00D57E22" w:rsidRPr="00F04C53" w:rsidRDefault="00FD4196" w:rsidP="009D076C">
            <w:pPr>
              <w:rPr>
                <w:rFonts w:ascii="Arial" w:eastAsia="Arial" w:hAnsi="Arial" w:cs="Arial"/>
                <w:sz w:val="32"/>
                <w:szCs w:val="32"/>
                <w:lang w:val="en-CA"/>
              </w:rPr>
            </w:pPr>
            <w:r w:rsidRPr="00F04C53">
              <w:rPr>
                <w:rFonts w:ascii="Arial" w:eastAsia="Arial" w:hAnsi="Arial" w:cs="Arial"/>
                <w:noProof/>
                <w:lang w:val="en-US" w:eastAsia="en-US"/>
              </w:rPr>
              <w:drawing>
                <wp:inline distT="0" distB="0" distL="0" distR="0" wp14:anchorId="2D312A99" wp14:editId="523BF411">
                  <wp:extent cx="812733" cy="761937"/>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9"/>
                          <a:srcRect/>
                          <a:stretch>
                            <a:fillRect/>
                          </a:stretch>
                        </pic:blipFill>
                        <pic:spPr>
                          <a:xfrm>
                            <a:off x="0" y="0"/>
                            <a:ext cx="812733" cy="761937"/>
                          </a:xfrm>
                          <a:prstGeom prst="rect">
                            <a:avLst/>
                          </a:prstGeom>
                          <a:ln/>
                        </pic:spPr>
                      </pic:pic>
                    </a:graphicData>
                  </a:graphic>
                </wp:inline>
              </w:drawing>
            </w:r>
          </w:p>
          <w:p w14:paraId="09831ABE" w14:textId="77777777" w:rsidR="00D57E22" w:rsidRPr="00F04C53" w:rsidRDefault="00D57E22" w:rsidP="009D076C">
            <w:pPr>
              <w:rPr>
                <w:rFonts w:ascii="Arial" w:eastAsia="Arial" w:hAnsi="Arial" w:cs="Arial"/>
                <w:sz w:val="32"/>
                <w:szCs w:val="32"/>
                <w:lang w:val="en-CA"/>
              </w:rPr>
            </w:pPr>
          </w:p>
          <w:p w14:paraId="05A5B1D6" w14:textId="77777777" w:rsidR="00D57E22" w:rsidRPr="00F04C53" w:rsidRDefault="00D57E22" w:rsidP="009D076C">
            <w:pPr>
              <w:rPr>
                <w:rFonts w:ascii="Arial" w:eastAsia="Arial" w:hAnsi="Arial" w:cs="Arial"/>
                <w:sz w:val="32"/>
                <w:szCs w:val="32"/>
                <w:lang w:val="en-CA"/>
              </w:rPr>
            </w:pPr>
          </w:p>
          <w:p w14:paraId="40A404CE" w14:textId="77777777" w:rsidR="00D57E22" w:rsidRPr="00770B38" w:rsidRDefault="00FD4196" w:rsidP="009D076C">
            <w:pPr>
              <w:rPr>
                <w:rFonts w:ascii="Arial" w:eastAsia="Arial" w:hAnsi="Arial" w:cs="Arial"/>
                <w:i/>
                <w:sz w:val="16"/>
                <w:szCs w:val="16"/>
              </w:rPr>
            </w:pPr>
            <w:r w:rsidRPr="00770B38">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F59372A" w14:textId="77777777" w:rsidR="00D57E22" w:rsidRPr="00770B38" w:rsidRDefault="00D57E22" w:rsidP="009D076C">
            <w:pPr>
              <w:rPr>
                <w:rFonts w:ascii="Arial" w:eastAsia="Arial" w:hAnsi="Arial" w:cs="Arial"/>
                <w:sz w:val="32"/>
                <w:szCs w:val="32"/>
              </w:rPr>
            </w:pPr>
          </w:p>
        </w:tc>
      </w:tr>
    </w:tbl>
    <w:p w14:paraId="1D694267" w14:textId="77777777" w:rsidR="00D57E22" w:rsidRPr="00770B38" w:rsidRDefault="00D57E22" w:rsidP="009D076C">
      <w:pPr>
        <w:rPr>
          <w:rFonts w:ascii="Arial" w:eastAsia="Arial" w:hAnsi="Arial" w:cs="Arial"/>
          <w:sz w:val="32"/>
          <w:szCs w:val="32"/>
        </w:rPr>
      </w:pPr>
    </w:p>
    <w:p w14:paraId="6A251F5D" w14:textId="77777777" w:rsidR="00D57E22" w:rsidRPr="00770B38" w:rsidRDefault="00D57E22" w:rsidP="009D076C">
      <w:pPr>
        <w:rPr>
          <w:rFonts w:ascii="Arial" w:eastAsia="Arial" w:hAnsi="Arial" w:cs="Arial"/>
        </w:rPr>
      </w:pPr>
    </w:p>
    <w:sectPr w:rsidR="00D57E22" w:rsidRPr="00770B38">
      <w:headerReference w:type="default" r:id="rId50"/>
      <w:footerReference w:type="even" r:id="rId51"/>
      <w:footerReference w:type="default" r:id="rId52"/>
      <w:pgSz w:w="12240" w:h="15840"/>
      <w:pgMar w:top="2140" w:right="1440" w:bottom="144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0A5A9" w14:textId="77777777" w:rsidR="009873F6" w:rsidRDefault="009873F6">
      <w:r>
        <w:separator/>
      </w:r>
    </w:p>
  </w:endnote>
  <w:endnote w:type="continuationSeparator" w:id="0">
    <w:p w14:paraId="1C00A6EE" w14:textId="77777777" w:rsidR="009873F6" w:rsidRDefault="0098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57 Cn">
    <w:altName w:val="Cambria"/>
    <w:charset w:val="4D"/>
    <w:family w:val="swiss"/>
    <w:pitch w:val="variable"/>
    <w:sig w:usb0="00000003" w:usb1="00000000" w:usb2="00000000" w:usb3="00000000" w:csb0="00000001" w:csb1="00000000"/>
  </w:font>
  <w:font w:name="Levenim MT">
    <w:altName w:val="Arial"/>
    <w:charset w:val="B1"/>
    <w:family w:val="auto"/>
    <w:pitch w:val="variable"/>
    <w:sig w:usb0="00000803" w:usb1="00000000" w:usb2="00000000" w:usb3="00000000" w:csb0="0000002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365D" w14:textId="77777777" w:rsidR="00D57E22" w:rsidRDefault="00FD4196">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54595857" w14:textId="77777777" w:rsidR="00D57E22" w:rsidRDefault="00D57E22">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A7CE" w14:textId="68F8512D" w:rsidR="00D57E22" w:rsidRDefault="00FD4196">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E6058">
      <w:rPr>
        <w:rFonts w:ascii="Calibri" w:eastAsia="Calibri" w:hAnsi="Calibri" w:cs="Calibri"/>
        <w:noProof/>
        <w:color w:val="000000"/>
      </w:rPr>
      <w:t>2</w:t>
    </w:r>
    <w:r>
      <w:rPr>
        <w:rFonts w:ascii="Calibri" w:eastAsia="Calibri" w:hAnsi="Calibri" w:cs="Calibri"/>
        <w:color w:val="000000"/>
      </w:rPr>
      <w:fldChar w:fldCharType="end"/>
    </w:r>
  </w:p>
  <w:p w14:paraId="1CF1585E" w14:textId="77777777" w:rsidR="00D57E22" w:rsidRDefault="00D57E22">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050D4" w14:textId="77777777" w:rsidR="009873F6" w:rsidRDefault="009873F6">
      <w:r>
        <w:separator/>
      </w:r>
    </w:p>
  </w:footnote>
  <w:footnote w:type="continuationSeparator" w:id="0">
    <w:p w14:paraId="020F6B74" w14:textId="77777777" w:rsidR="009873F6" w:rsidRDefault="0098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B6FE" w14:textId="77777777" w:rsidR="00D57E22" w:rsidRDefault="00FD4196">
    <w:pPr>
      <w:pBdr>
        <w:top w:val="nil"/>
        <w:left w:val="nil"/>
        <w:bottom w:val="nil"/>
        <w:right w:val="nil"/>
        <w:between w:val="nil"/>
      </w:pBdr>
      <w:tabs>
        <w:tab w:val="center" w:pos="4513"/>
        <w:tab w:val="right" w:pos="9026"/>
      </w:tabs>
      <w:ind w:left="426" w:right="1138"/>
      <w:jc w:val="center"/>
      <w:rPr>
        <w:rFonts w:ascii="Calibri" w:eastAsia="Calibri" w:hAnsi="Calibri" w:cs="Calibri"/>
        <w:color w:val="000000"/>
      </w:rPr>
    </w:pPr>
    <w:r>
      <w:rPr>
        <w:rFonts w:ascii="Calibri" w:eastAsia="Calibri" w:hAnsi="Calibri" w:cs="Calibri"/>
        <w:noProof/>
        <w:color w:val="000000"/>
        <w:lang w:val="en-US" w:eastAsia="en-US"/>
      </w:rPr>
      <w:drawing>
        <wp:inline distT="0" distB="0" distL="0" distR="0" wp14:anchorId="0CC803E0" wp14:editId="70494F69">
          <wp:extent cx="1412240" cy="56896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rFonts w:ascii="Calibri" w:eastAsia="Calibri" w:hAnsi="Calibri" w:cs="Calibri"/>
        <w:noProof/>
        <w:color w:val="000000"/>
        <w:lang w:val="en-US" w:eastAsia="en-US"/>
      </w:rPr>
      <w:drawing>
        <wp:inline distT="0" distB="0" distL="0" distR="0" wp14:anchorId="47786156" wp14:editId="703AF32F">
          <wp:extent cx="873760" cy="57150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05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22"/>
    <w:rsid w:val="00001692"/>
    <w:rsid w:val="00015E57"/>
    <w:rsid w:val="00030A28"/>
    <w:rsid w:val="0003176B"/>
    <w:rsid w:val="00032B8F"/>
    <w:rsid w:val="0004404A"/>
    <w:rsid w:val="00054D51"/>
    <w:rsid w:val="00076234"/>
    <w:rsid w:val="00081483"/>
    <w:rsid w:val="000920CB"/>
    <w:rsid w:val="00095F3E"/>
    <w:rsid w:val="000C2EB4"/>
    <w:rsid w:val="000C48DC"/>
    <w:rsid w:val="000D5E1E"/>
    <w:rsid w:val="000E646D"/>
    <w:rsid w:val="000F4886"/>
    <w:rsid w:val="001001A4"/>
    <w:rsid w:val="00106E8D"/>
    <w:rsid w:val="00132168"/>
    <w:rsid w:val="00143352"/>
    <w:rsid w:val="00145443"/>
    <w:rsid w:val="001503F6"/>
    <w:rsid w:val="0016061A"/>
    <w:rsid w:val="00164FC9"/>
    <w:rsid w:val="001651AC"/>
    <w:rsid w:val="00190621"/>
    <w:rsid w:val="001936FD"/>
    <w:rsid w:val="0019420B"/>
    <w:rsid w:val="0019454C"/>
    <w:rsid w:val="001958BC"/>
    <w:rsid w:val="001B5BBB"/>
    <w:rsid w:val="001C7EA9"/>
    <w:rsid w:val="002018CB"/>
    <w:rsid w:val="0020227B"/>
    <w:rsid w:val="002115DD"/>
    <w:rsid w:val="00217309"/>
    <w:rsid w:val="0022070B"/>
    <w:rsid w:val="0022165C"/>
    <w:rsid w:val="002451D8"/>
    <w:rsid w:val="0025007E"/>
    <w:rsid w:val="0027614C"/>
    <w:rsid w:val="00294A70"/>
    <w:rsid w:val="002B648A"/>
    <w:rsid w:val="002C2C94"/>
    <w:rsid w:val="002D650A"/>
    <w:rsid w:val="002F345A"/>
    <w:rsid w:val="002F5B72"/>
    <w:rsid w:val="00312DA5"/>
    <w:rsid w:val="003268E6"/>
    <w:rsid w:val="0033405F"/>
    <w:rsid w:val="00347AD2"/>
    <w:rsid w:val="003756CA"/>
    <w:rsid w:val="00385AC4"/>
    <w:rsid w:val="003B7751"/>
    <w:rsid w:val="003C321F"/>
    <w:rsid w:val="003D5A7D"/>
    <w:rsid w:val="004115BB"/>
    <w:rsid w:val="004411CD"/>
    <w:rsid w:val="00441457"/>
    <w:rsid w:val="004434FB"/>
    <w:rsid w:val="004648F4"/>
    <w:rsid w:val="004738B1"/>
    <w:rsid w:val="004B24CF"/>
    <w:rsid w:val="004B3B6B"/>
    <w:rsid w:val="004B5A7F"/>
    <w:rsid w:val="004D1567"/>
    <w:rsid w:val="0051352E"/>
    <w:rsid w:val="00521850"/>
    <w:rsid w:val="005349A2"/>
    <w:rsid w:val="00561585"/>
    <w:rsid w:val="0056529C"/>
    <w:rsid w:val="005675DA"/>
    <w:rsid w:val="00570F7C"/>
    <w:rsid w:val="0058243A"/>
    <w:rsid w:val="0058425D"/>
    <w:rsid w:val="005A030B"/>
    <w:rsid w:val="005A67C9"/>
    <w:rsid w:val="005B18F7"/>
    <w:rsid w:val="005B1BB2"/>
    <w:rsid w:val="005E6035"/>
    <w:rsid w:val="005F09B2"/>
    <w:rsid w:val="005F420B"/>
    <w:rsid w:val="00613A4F"/>
    <w:rsid w:val="00635291"/>
    <w:rsid w:val="0064512B"/>
    <w:rsid w:val="00654847"/>
    <w:rsid w:val="00656782"/>
    <w:rsid w:val="00667D13"/>
    <w:rsid w:val="00667F16"/>
    <w:rsid w:val="006773E9"/>
    <w:rsid w:val="00677457"/>
    <w:rsid w:val="00697F0D"/>
    <w:rsid w:val="006A0860"/>
    <w:rsid w:val="006C4A22"/>
    <w:rsid w:val="006C607E"/>
    <w:rsid w:val="006F7E59"/>
    <w:rsid w:val="007237E9"/>
    <w:rsid w:val="00742661"/>
    <w:rsid w:val="00746D8F"/>
    <w:rsid w:val="00766B2F"/>
    <w:rsid w:val="00770B38"/>
    <w:rsid w:val="00772AA3"/>
    <w:rsid w:val="00775AB4"/>
    <w:rsid w:val="00782A0A"/>
    <w:rsid w:val="0079492F"/>
    <w:rsid w:val="00795C9A"/>
    <w:rsid w:val="007D19EF"/>
    <w:rsid w:val="007D5112"/>
    <w:rsid w:val="007D6E45"/>
    <w:rsid w:val="007F7494"/>
    <w:rsid w:val="00800022"/>
    <w:rsid w:val="00817EE4"/>
    <w:rsid w:val="00826AE2"/>
    <w:rsid w:val="0084565C"/>
    <w:rsid w:val="00855EF3"/>
    <w:rsid w:val="008907A6"/>
    <w:rsid w:val="008A6C6D"/>
    <w:rsid w:val="008B109E"/>
    <w:rsid w:val="008B2725"/>
    <w:rsid w:val="008B64F8"/>
    <w:rsid w:val="008D1A49"/>
    <w:rsid w:val="008D73FD"/>
    <w:rsid w:val="008E0866"/>
    <w:rsid w:val="008F67FF"/>
    <w:rsid w:val="0090379A"/>
    <w:rsid w:val="00907925"/>
    <w:rsid w:val="00934830"/>
    <w:rsid w:val="00947A50"/>
    <w:rsid w:val="009628EC"/>
    <w:rsid w:val="009709D9"/>
    <w:rsid w:val="009873F6"/>
    <w:rsid w:val="009B05BB"/>
    <w:rsid w:val="009C1399"/>
    <w:rsid w:val="009D076C"/>
    <w:rsid w:val="009D2613"/>
    <w:rsid w:val="009D55E8"/>
    <w:rsid w:val="009D6A46"/>
    <w:rsid w:val="00A005B2"/>
    <w:rsid w:val="00A02022"/>
    <w:rsid w:val="00A02A76"/>
    <w:rsid w:val="00A17C9F"/>
    <w:rsid w:val="00A3013C"/>
    <w:rsid w:val="00A414D6"/>
    <w:rsid w:val="00A608DA"/>
    <w:rsid w:val="00A616F9"/>
    <w:rsid w:val="00A76E79"/>
    <w:rsid w:val="00A95B01"/>
    <w:rsid w:val="00A968E9"/>
    <w:rsid w:val="00AB2921"/>
    <w:rsid w:val="00AB3180"/>
    <w:rsid w:val="00AB3809"/>
    <w:rsid w:val="00AC44BA"/>
    <w:rsid w:val="00AD248B"/>
    <w:rsid w:val="00AD307C"/>
    <w:rsid w:val="00AD6839"/>
    <w:rsid w:val="00AF7089"/>
    <w:rsid w:val="00B0585B"/>
    <w:rsid w:val="00B13617"/>
    <w:rsid w:val="00B344A2"/>
    <w:rsid w:val="00B376ED"/>
    <w:rsid w:val="00B76DAD"/>
    <w:rsid w:val="00B90B64"/>
    <w:rsid w:val="00B942E3"/>
    <w:rsid w:val="00B95CD1"/>
    <w:rsid w:val="00BA0523"/>
    <w:rsid w:val="00BA496E"/>
    <w:rsid w:val="00BA4C49"/>
    <w:rsid w:val="00BF4EBB"/>
    <w:rsid w:val="00BF7178"/>
    <w:rsid w:val="00C25F07"/>
    <w:rsid w:val="00C2617A"/>
    <w:rsid w:val="00C46FD7"/>
    <w:rsid w:val="00C527D9"/>
    <w:rsid w:val="00C52A07"/>
    <w:rsid w:val="00C52F94"/>
    <w:rsid w:val="00C60A4C"/>
    <w:rsid w:val="00C728BA"/>
    <w:rsid w:val="00C92317"/>
    <w:rsid w:val="00C93C63"/>
    <w:rsid w:val="00CB68D8"/>
    <w:rsid w:val="00CC16AE"/>
    <w:rsid w:val="00CD2566"/>
    <w:rsid w:val="00CD490F"/>
    <w:rsid w:val="00CE1A10"/>
    <w:rsid w:val="00CE578C"/>
    <w:rsid w:val="00CE5B21"/>
    <w:rsid w:val="00D0197E"/>
    <w:rsid w:val="00D019E6"/>
    <w:rsid w:val="00D037E9"/>
    <w:rsid w:val="00D1050C"/>
    <w:rsid w:val="00D25613"/>
    <w:rsid w:val="00D3150E"/>
    <w:rsid w:val="00D470B9"/>
    <w:rsid w:val="00D47BE2"/>
    <w:rsid w:val="00D56A58"/>
    <w:rsid w:val="00D57E22"/>
    <w:rsid w:val="00D61DBD"/>
    <w:rsid w:val="00D6619E"/>
    <w:rsid w:val="00D66C5C"/>
    <w:rsid w:val="00D67033"/>
    <w:rsid w:val="00D72694"/>
    <w:rsid w:val="00D73CAB"/>
    <w:rsid w:val="00D75EA5"/>
    <w:rsid w:val="00D80E5B"/>
    <w:rsid w:val="00DB4137"/>
    <w:rsid w:val="00DC7BBA"/>
    <w:rsid w:val="00DE17CF"/>
    <w:rsid w:val="00DE6058"/>
    <w:rsid w:val="00E03EDD"/>
    <w:rsid w:val="00E04F7C"/>
    <w:rsid w:val="00E1264C"/>
    <w:rsid w:val="00E25DEB"/>
    <w:rsid w:val="00E45112"/>
    <w:rsid w:val="00E509FF"/>
    <w:rsid w:val="00E8275D"/>
    <w:rsid w:val="00E91F6C"/>
    <w:rsid w:val="00E95F0E"/>
    <w:rsid w:val="00EA0400"/>
    <w:rsid w:val="00F02392"/>
    <w:rsid w:val="00F04C53"/>
    <w:rsid w:val="00F14F0E"/>
    <w:rsid w:val="00F17384"/>
    <w:rsid w:val="00F227FD"/>
    <w:rsid w:val="00F27560"/>
    <w:rsid w:val="00F31A65"/>
    <w:rsid w:val="00F323A7"/>
    <w:rsid w:val="00F70700"/>
    <w:rsid w:val="00F725FF"/>
    <w:rsid w:val="00F75320"/>
    <w:rsid w:val="00F774A2"/>
    <w:rsid w:val="00F969E4"/>
    <w:rsid w:val="00FA61B8"/>
    <w:rsid w:val="00FA7948"/>
    <w:rsid w:val="00FB6C07"/>
    <w:rsid w:val="00FC2F84"/>
    <w:rsid w:val="00FD0434"/>
    <w:rsid w:val="00FD082A"/>
    <w:rsid w:val="00FD4196"/>
    <w:rsid w:val="00FD71F8"/>
    <w:rsid w:val="00FE2416"/>
    <w:rsid w:val="00FE71CF"/>
    <w:rsid w:val="00FF1593"/>
    <w:rsid w:val="00FF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5A6B"/>
  <w15:docId w15:val="{970C9117-7A58-F040-81D4-C08B368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BA"/>
    <w:rPr>
      <w:lang w:val="fr-FR" w:eastAsia="fr-FR"/>
    </w:rPr>
  </w:style>
  <w:style w:type="paragraph" w:styleId="Heading1">
    <w:name w:val="heading 1"/>
    <w:basedOn w:val="Normal"/>
    <w:link w:val="Heading1Char"/>
    <w:uiPriority w:val="9"/>
    <w:qFormat/>
    <w:rsid w:val="00F5420E"/>
    <w:pPr>
      <w:spacing w:before="100" w:beforeAutospacing="1" w:after="100" w:afterAutospacing="1"/>
      <w:outlineLvl w:val="0"/>
    </w:pPr>
    <w:rPr>
      <w:b/>
      <w:bCs/>
      <w:kern w:val="36"/>
      <w:sz w:val="48"/>
      <w:szCs w:val="48"/>
      <w:lang w:val="en-CA"/>
    </w:rPr>
  </w:style>
  <w:style w:type="paragraph" w:styleId="Heading2">
    <w:name w:val="heading 2"/>
    <w:basedOn w:val="Normal"/>
    <w:next w:val="Normal"/>
    <w:link w:val="Heading2Char"/>
    <w:uiPriority w:val="9"/>
    <w:semiHidden/>
    <w:unhideWhenUsed/>
    <w:qFormat/>
    <w:rsid w:val="00B76336"/>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CA"/>
    </w:rPr>
  </w:style>
  <w:style w:type="paragraph" w:styleId="Footer">
    <w:name w:val="footer"/>
    <w:basedOn w:val="Normal"/>
    <w:link w:val="FooterChar"/>
    <w:uiPriority w:val="99"/>
    <w:unhideWhenUsed/>
    <w:rsid w:val="00B86702"/>
    <w:pPr>
      <w:tabs>
        <w:tab w:val="center" w:pos="4513"/>
        <w:tab w:val="right" w:pos="9026"/>
      </w:tabs>
    </w:pPr>
    <w:rPr>
      <w:rFonts w:asciiTheme="minorHAnsi" w:eastAsiaTheme="minorHAnsi" w:hAnsiTheme="minorHAnsi" w:cstheme="minorBidi"/>
      <w:lang w:val="en-CA" w:eastAsia="en-US"/>
    </w:rPr>
  </w:style>
  <w:style w:type="character" w:customStyle="1" w:styleId="FooterChar">
    <w:name w:val="Footer Char"/>
    <w:basedOn w:val="DefaultParagraphFont"/>
    <w:link w:val="Footer"/>
    <w:uiPriority w:val="99"/>
    <w:rsid w:val="00B86702"/>
  </w:style>
  <w:style w:type="character" w:styleId="PageNumber">
    <w:name w:val="page number"/>
    <w:basedOn w:val="DefaultParagraphFont"/>
    <w:uiPriority w:val="99"/>
    <w:semiHidden/>
    <w:unhideWhenUsed/>
    <w:rsid w:val="00B86702"/>
  </w:style>
  <w:style w:type="character" w:styleId="Hyperlink">
    <w:name w:val="Hyperlink"/>
    <w:basedOn w:val="DefaultParagraphFont"/>
    <w:uiPriority w:val="99"/>
    <w:unhideWhenUsed/>
    <w:rsid w:val="00B86702"/>
    <w:rPr>
      <w:color w:val="0563C1" w:themeColor="hyperlink"/>
      <w:u w:val="single"/>
    </w:rPr>
  </w:style>
  <w:style w:type="paragraph" w:styleId="ListParagraph">
    <w:name w:val="List Paragraph"/>
    <w:basedOn w:val="Normal"/>
    <w:uiPriority w:val="34"/>
    <w:qFormat/>
    <w:rsid w:val="00B86702"/>
    <w:pPr>
      <w:ind w:left="720"/>
      <w:contextualSpacing/>
    </w:pPr>
    <w:rPr>
      <w:rFonts w:asciiTheme="minorHAnsi" w:eastAsiaTheme="minorHAnsi" w:hAnsiTheme="minorHAnsi" w:cstheme="minorBidi"/>
      <w:lang w:val="en-CA" w:eastAsia="en-US"/>
    </w:rPr>
  </w:style>
  <w:style w:type="table" w:styleId="TableGrid">
    <w:name w:val="Table Grid"/>
    <w:basedOn w:val="TableNormal"/>
    <w:uiPriority w:val="39"/>
    <w:rsid w:val="00B8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702"/>
    <w:pPr>
      <w:tabs>
        <w:tab w:val="center" w:pos="4513"/>
        <w:tab w:val="right" w:pos="9026"/>
      </w:tabs>
    </w:pPr>
    <w:rPr>
      <w:rFonts w:asciiTheme="minorHAnsi" w:eastAsiaTheme="minorHAnsi" w:hAnsiTheme="minorHAnsi" w:cstheme="minorBidi"/>
      <w:lang w:val="en-CA" w:eastAsia="en-US"/>
    </w:rPr>
  </w:style>
  <w:style w:type="character" w:customStyle="1" w:styleId="HeaderChar">
    <w:name w:val="Header Char"/>
    <w:basedOn w:val="DefaultParagraphFont"/>
    <w:link w:val="Header"/>
    <w:uiPriority w:val="99"/>
    <w:rsid w:val="00B86702"/>
  </w:style>
  <w:style w:type="paragraph" w:customStyle="1" w:styleId="TexteNormalHyperlink">
    <w:name w:val="TexteNormalHyperlink"/>
    <w:basedOn w:val="Normal"/>
    <w:link w:val="TexteNormalHyperlinkChar"/>
    <w:autoRedefine/>
    <w:qFormat/>
    <w:rsid w:val="00B86702"/>
    <w:pPr>
      <w:spacing w:before="240"/>
      <w:ind w:right="20" w:firstLine="284"/>
      <w:jc w:val="both"/>
    </w:pPr>
    <w:rPr>
      <w:rFonts w:ascii="Univers LT Std 57 Cn" w:hAnsi="Univers LT Std 57 Cn" w:cs="Levenim MT"/>
      <w:noProof/>
      <w:color w:val="00B050"/>
      <w:sz w:val="20"/>
      <w:szCs w:val="26"/>
      <w:u w:val="single" w:color="00B050"/>
      <w:lang w:val="fr-CA" w:eastAsia="fr-CA"/>
    </w:rPr>
  </w:style>
  <w:style w:type="character" w:customStyle="1" w:styleId="TexteNormalHyperlinkChar">
    <w:name w:val="TexteNormalHyperlink Char"/>
    <w:basedOn w:val="DefaultParagraphFont"/>
    <w:link w:val="TexteNormalHyperlink"/>
    <w:rsid w:val="00B86702"/>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DefaultParagraphFont"/>
    <w:uiPriority w:val="99"/>
    <w:rsid w:val="005A29B1"/>
    <w:rPr>
      <w:color w:val="605E5C"/>
      <w:shd w:val="clear" w:color="auto" w:fill="E1DFDD"/>
    </w:rPr>
  </w:style>
  <w:style w:type="character" w:styleId="FollowedHyperlink">
    <w:name w:val="FollowedHyperlink"/>
    <w:basedOn w:val="DefaultParagraphFont"/>
    <w:uiPriority w:val="99"/>
    <w:semiHidden/>
    <w:unhideWhenUsed/>
    <w:rsid w:val="00AB111D"/>
    <w:rPr>
      <w:color w:val="954F72" w:themeColor="followedHyperlink"/>
      <w:u w:val="single"/>
    </w:rPr>
  </w:style>
  <w:style w:type="paragraph" w:styleId="FootnoteText">
    <w:name w:val="footnote text"/>
    <w:basedOn w:val="Normal"/>
    <w:link w:val="FootnoteTextChar"/>
    <w:uiPriority w:val="99"/>
    <w:semiHidden/>
    <w:unhideWhenUsed/>
    <w:rsid w:val="00C320FE"/>
    <w:rPr>
      <w:rFonts w:asciiTheme="minorHAnsi" w:eastAsiaTheme="minorHAnsi" w:hAnsiTheme="minorHAnsi" w:cstheme="minorBidi"/>
      <w:sz w:val="20"/>
      <w:szCs w:val="20"/>
      <w:lang w:val="en-CA" w:eastAsia="en-US"/>
    </w:rPr>
  </w:style>
  <w:style w:type="character" w:customStyle="1" w:styleId="FootnoteTextChar">
    <w:name w:val="Footnote Text Char"/>
    <w:basedOn w:val="DefaultParagraphFont"/>
    <w:link w:val="FootnoteText"/>
    <w:uiPriority w:val="99"/>
    <w:semiHidden/>
    <w:rsid w:val="00C320FE"/>
    <w:rPr>
      <w:sz w:val="20"/>
      <w:szCs w:val="20"/>
    </w:rPr>
  </w:style>
  <w:style w:type="character" w:styleId="FootnoteReference">
    <w:name w:val="footnote reference"/>
    <w:basedOn w:val="DefaultParagraphFont"/>
    <w:uiPriority w:val="99"/>
    <w:semiHidden/>
    <w:unhideWhenUsed/>
    <w:rsid w:val="00C320FE"/>
    <w:rPr>
      <w:vertAlign w:val="superscript"/>
    </w:rPr>
  </w:style>
  <w:style w:type="paragraph" w:styleId="HTMLPreformatted">
    <w:name w:val="HTML Preformatted"/>
    <w:basedOn w:val="Normal"/>
    <w:link w:val="HTMLPreformattedChar"/>
    <w:uiPriority w:val="99"/>
    <w:unhideWhenUsed/>
    <w:rsid w:val="00DF3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rPr>
  </w:style>
  <w:style w:type="character" w:customStyle="1" w:styleId="HTMLPreformattedChar">
    <w:name w:val="HTML Preformatted Char"/>
    <w:basedOn w:val="DefaultParagraphFont"/>
    <w:link w:val="HTMLPreformatted"/>
    <w:uiPriority w:val="99"/>
    <w:rsid w:val="00DF3FE5"/>
    <w:rPr>
      <w:rFonts w:ascii="Courier New" w:eastAsia="Times New Roman" w:hAnsi="Courier New" w:cs="Courier New"/>
      <w:sz w:val="20"/>
      <w:szCs w:val="20"/>
      <w:lang w:val="en-CA" w:eastAsia="fr-FR"/>
    </w:rPr>
  </w:style>
  <w:style w:type="paragraph" w:styleId="BalloonText">
    <w:name w:val="Balloon Text"/>
    <w:basedOn w:val="Normal"/>
    <w:link w:val="BalloonTextChar"/>
    <w:uiPriority w:val="99"/>
    <w:semiHidden/>
    <w:unhideWhenUsed/>
    <w:rsid w:val="002443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389"/>
    <w:rPr>
      <w:rFonts w:ascii="Lucida Grande" w:hAnsi="Lucida Grande" w:cs="Lucida Grande"/>
      <w:sz w:val="18"/>
      <w:szCs w:val="18"/>
    </w:rPr>
  </w:style>
  <w:style w:type="character" w:customStyle="1" w:styleId="Mentionnonrsolue2">
    <w:name w:val="Mention non résolue2"/>
    <w:basedOn w:val="DefaultParagraphFont"/>
    <w:uiPriority w:val="99"/>
    <w:semiHidden/>
    <w:unhideWhenUsed/>
    <w:rsid w:val="008D6CB9"/>
    <w:rPr>
      <w:color w:val="605E5C"/>
      <w:shd w:val="clear" w:color="auto" w:fill="E1DFDD"/>
    </w:rPr>
  </w:style>
  <w:style w:type="character" w:customStyle="1" w:styleId="Mentionnonrsolue3">
    <w:name w:val="Mention non résolue3"/>
    <w:basedOn w:val="DefaultParagraphFont"/>
    <w:uiPriority w:val="99"/>
    <w:semiHidden/>
    <w:unhideWhenUsed/>
    <w:rsid w:val="001E3D4C"/>
    <w:rPr>
      <w:color w:val="605E5C"/>
      <w:shd w:val="clear" w:color="auto" w:fill="E1DFDD"/>
    </w:rPr>
  </w:style>
  <w:style w:type="character" w:customStyle="1" w:styleId="Mentionnonrsolue4">
    <w:name w:val="Mention non résolue4"/>
    <w:basedOn w:val="DefaultParagraphFont"/>
    <w:uiPriority w:val="99"/>
    <w:semiHidden/>
    <w:unhideWhenUsed/>
    <w:rsid w:val="006008DE"/>
    <w:rPr>
      <w:color w:val="605E5C"/>
      <w:shd w:val="clear" w:color="auto" w:fill="E1DFDD"/>
    </w:rPr>
  </w:style>
  <w:style w:type="character" w:customStyle="1" w:styleId="Mentionnonrsolue5">
    <w:name w:val="Mention non résolue5"/>
    <w:basedOn w:val="DefaultParagraphFont"/>
    <w:uiPriority w:val="99"/>
    <w:semiHidden/>
    <w:unhideWhenUsed/>
    <w:rsid w:val="00AD6007"/>
    <w:rPr>
      <w:color w:val="605E5C"/>
      <w:shd w:val="clear" w:color="auto" w:fill="E1DFDD"/>
    </w:rPr>
  </w:style>
  <w:style w:type="character" w:styleId="Emphasis">
    <w:name w:val="Emphasis"/>
    <w:basedOn w:val="DefaultParagraphFont"/>
    <w:uiPriority w:val="20"/>
    <w:qFormat/>
    <w:rsid w:val="00EC153A"/>
    <w:rPr>
      <w:i/>
      <w:iCs/>
    </w:rPr>
  </w:style>
  <w:style w:type="character" w:customStyle="1" w:styleId="Mentionnonrsolue6">
    <w:name w:val="Mention non résolue6"/>
    <w:basedOn w:val="DefaultParagraphFont"/>
    <w:uiPriority w:val="99"/>
    <w:semiHidden/>
    <w:unhideWhenUsed/>
    <w:rsid w:val="00761EE6"/>
    <w:rPr>
      <w:color w:val="605E5C"/>
      <w:shd w:val="clear" w:color="auto" w:fill="E1DFDD"/>
    </w:rPr>
  </w:style>
  <w:style w:type="character" w:customStyle="1" w:styleId="Mentionnonrsolue7">
    <w:name w:val="Mention non résolue7"/>
    <w:basedOn w:val="DefaultParagraphFont"/>
    <w:uiPriority w:val="99"/>
    <w:semiHidden/>
    <w:unhideWhenUsed/>
    <w:rsid w:val="00FE6CAB"/>
    <w:rPr>
      <w:color w:val="605E5C"/>
      <w:shd w:val="clear" w:color="auto" w:fill="E1DFDD"/>
    </w:rPr>
  </w:style>
  <w:style w:type="paragraph" w:customStyle="1" w:styleId="Default">
    <w:name w:val="Default"/>
    <w:rsid w:val="00DB20CD"/>
    <w:pPr>
      <w:autoSpaceDE w:val="0"/>
      <w:autoSpaceDN w:val="0"/>
      <w:adjustRightInd w:val="0"/>
    </w:pPr>
    <w:rPr>
      <w:rFonts w:ascii="Arial" w:hAnsi="Arial" w:cs="Arial"/>
      <w:color w:val="000000"/>
    </w:rPr>
  </w:style>
  <w:style w:type="character" w:customStyle="1" w:styleId="Mentionnonrsolue8">
    <w:name w:val="Mention non résolue8"/>
    <w:basedOn w:val="DefaultParagraphFont"/>
    <w:uiPriority w:val="99"/>
    <w:semiHidden/>
    <w:unhideWhenUsed/>
    <w:rsid w:val="00BB3242"/>
    <w:rPr>
      <w:color w:val="605E5C"/>
      <w:shd w:val="clear" w:color="auto" w:fill="E1DFDD"/>
    </w:rPr>
  </w:style>
  <w:style w:type="character" w:customStyle="1" w:styleId="Mentionnonrsolue9">
    <w:name w:val="Mention non résolue9"/>
    <w:basedOn w:val="DefaultParagraphFont"/>
    <w:uiPriority w:val="99"/>
    <w:semiHidden/>
    <w:unhideWhenUsed/>
    <w:rsid w:val="00046CC7"/>
    <w:rPr>
      <w:color w:val="605E5C"/>
      <w:shd w:val="clear" w:color="auto" w:fill="E1DFDD"/>
    </w:rPr>
  </w:style>
  <w:style w:type="character" w:customStyle="1" w:styleId="Mentionnonrsolue10">
    <w:name w:val="Mention non résolue10"/>
    <w:basedOn w:val="DefaultParagraphFont"/>
    <w:uiPriority w:val="99"/>
    <w:semiHidden/>
    <w:unhideWhenUsed/>
    <w:rsid w:val="00A87948"/>
    <w:rPr>
      <w:color w:val="605E5C"/>
      <w:shd w:val="clear" w:color="auto" w:fill="E1DFDD"/>
    </w:rPr>
  </w:style>
  <w:style w:type="character" w:customStyle="1" w:styleId="Heading1Char">
    <w:name w:val="Heading 1 Char"/>
    <w:basedOn w:val="DefaultParagraphFont"/>
    <w:link w:val="Heading1"/>
    <w:uiPriority w:val="9"/>
    <w:rsid w:val="00F5420E"/>
    <w:rPr>
      <w:rFonts w:ascii="Times New Roman" w:eastAsia="Times New Roman" w:hAnsi="Times New Roman" w:cs="Times New Roman"/>
      <w:b/>
      <w:bCs/>
      <w:kern w:val="36"/>
      <w:sz w:val="48"/>
      <w:szCs w:val="48"/>
      <w:lang w:eastAsia="fr-FR"/>
    </w:rPr>
  </w:style>
  <w:style w:type="character" w:customStyle="1" w:styleId="y2iqfc">
    <w:name w:val="y2iqfc"/>
    <w:basedOn w:val="DefaultParagraphFont"/>
    <w:rsid w:val="002729C3"/>
  </w:style>
  <w:style w:type="character" w:customStyle="1" w:styleId="Heading2Char">
    <w:name w:val="Heading 2 Char"/>
    <w:basedOn w:val="DefaultParagraphFont"/>
    <w:link w:val="Heading2"/>
    <w:uiPriority w:val="9"/>
    <w:semiHidden/>
    <w:rsid w:val="00B76336"/>
    <w:rPr>
      <w:rFonts w:asciiTheme="majorHAnsi" w:eastAsiaTheme="majorEastAsia" w:hAnsiTheme="majorHAnsi" w:cstheme="majorBidi"/>
      <w:color w:val="2F5496" w:themeColor="accent1" w:themeShade="BF"/>
      <w:sz w:val="26"/>
      <w:szCs w:val="26"/>
      <w:lang w:eastAsia="fr-FR"/>
    </w:rPr>
  </w:style>
  <w:style w:type="character" w:styleId="Strong">
    <w:name w:val="Strong"/>
    <w:basedOn w:val="DefaultParagraphFont"/>
    <w:uiPriority w:val="22"/>
    <w:qFormat/>
    <w:rsid w:val="00B76336"/>
    <w:rPr>
      <w:b/>
      <w:bCs/>
    </w:rPr>
  </w:style>
  <w:style w:type="character" w:customStyle="1" w:styleId="Mentionnonrsolue11">
    <w:name w:val="Mention non résolue11"/>
    <w:basedOn w:val="DefaultParagraphFont"/>
    <w:uiPriority w:val="99"/>
    <w:semiHidden/>
    <w:unhideWhenUsed/>
    <w:rsid w:val="005B1EF3"/>
    <w:rPr>
      <w:color w:val="605E5C"/>
      <w:shd w:val="clear" w:color="auto" w:fill="E1DFDD"/>
    </w:rPr>
  </w:style>
  <w:style w:type="character" w:customStyle="1" w:styleId="Mentionnonrsolue12">
    <w:name w:val="Mention non résolue12"/>
    <w:basedOn w:val="DefaultParagraphFont"/>
    <w:uiPriority w:val="99"/>
    <w:semiHidden/>
    <w:unhideWhenUsed/>
    <w:rsid w:val="00EA0186"/>
    <w:rPr>
      <w:color w:val="605E5C"/>
      <w:shd w:val="clear" w:color="auto" w:fill="E1DFDD"/>
    </w:rPr>
  </w:style>
  <w:style w:type="character" w:customStyle="1" w:styleId="Mentionnonrsolue13">
    <w:name w:val="Mention non résolue13"/>
    <w:basedOn w:val="DefaultParagraphFont"/>
    <w:uiPriority w:val="99"/>
    <w:semiHidden/>
    <w:unhideWhenUsed/>
    <w:rsid w:val="00ED34EA"/>
    <w:rPr>
      <w:color w:val="605E5C"/>
      <w:shd w:val="clear" w:color="auto" w:fill="E1DFDD"/>
    </w:rPr>
  </w:style>
  <w:style w:type="character" w:customStyle="1" w:styleId="Mentionnonrsolue14">
    <w:name w:val="Mention non résolue14"/>
    <w:basedOn w:val="DefaultParagraphFont"/>
    <w:uiPriority w:val="99"/>
    <w:semiHidden/>
    <w:unhideWhenUsed/>
    <w:rsid w:val="00275203"/>
    <w:rPr>
      <w:color w:val="605E5C"/>
      <w:shd w:val="clear" w:color="auto" w:fill="E1DFDD"/>
    </w:rPr>
  </w:style>
  <w:style w:type="character" w:customStyle="1" w:styleId="Mentionnonrsolue15">
    <w:name w:val="Mention non résolue15"/>
    <w:basedOn w:val="DefaultParagraphFont"/>
    <w:uiPriority w:val="99"/>
    <w:semiHidden/>
    <w:unhideWhenUsed/>
    <w:rsid w:val="00AD079D"/>
    <w:rPr>
      <w:color w:val="605E5C"/>
      <w:shd w:val="clear" w:color="auto" w:fill="E1DFDD"/>
    </w:rPr>
  </w:style>
  <w:style w:type="character" w:customStyle="1" w:styleId="Mentionnonrsolue16">
    <w:name w:val="Mention non résolue16"/>
    <w:basedOn w:val="DefaultParagraphFont"/>
    <w:uiPriority w:val="99"/>
    <w:semiHidden/>
    <w:unhideWhenUsed/>
    <w:rsid w:val="00A403AC"/>
    <w:rPr>
      <w:color w:val="605E5C"/>
      <w:shd w:val="clear" w:color="auto" w:fill="E1DFDD"/>
    </w:rPr>
  </w:style>
  <w:style w:type="character" w:customStyle="1" w:styleId="Mentionnonrsolue17">
    <w:name w:val="Mention non résolue17"/>
    <w:basedOn w:val="DefaultParagraphFont"/>
    <w:uiPriority w:val="99"/>
    <w:semiHidden/>
    <w:unhideWhenUsed/>
    <w:rsid w:val="00730F17"/>
    <w:rPr>
      <w:color w:val="605E5C"/>
      <w:shd w:val="clear" w:color="auto" w:fill="E1DFDD"/>
    </w:rPr>
  </w:style>
  <w:style w:type="character" w:customStyle="1" w:styleId="Mentionnonrsolue18">
    <w:name w:val="Mention non résolue18"/>
    <w:basedOn w:val="DefaultParagraphFont"/>
    <w:uiPriority w:val="99"/>
    <w:semiHidden/>
    <w:unhideWhenUsed/>
    <w:rsid w:val="00841211"/>
    <w:rPr>
      <w:color w:val="605E5C"/>
      <w:shd w:val="clear" w:color="auto" w:fill="E1DFDD"/>
    </w:rPr>
  </w:style>
  <w:style w:type="character" w:customStyle="1" w:styleId="Mentionnonrsolue19">
    <w:name w:val="Mention non résolue19"/>
    <w:basedOn w:val="DefaultParagraphFont"/>
    <w:uiPriority w:val="99"/>
    <w:semiHidden/>
    <w:unhideWhenUsed/>
    <w:rsid w:val="00393437"/>
    <w:rPr>
      <w:color w:val="605E5C"/>
      <w:shd w:val="clear" w:color="auto" w:fill="E1DFDD"/>
    </w:rPr>
  </w:style>
  <w:style w:type="character" w:customStyle="1" w:styleId="Mentionnonrsolue20">
    <w:name w:val="Mention non résolue20"/>
    <w:basedOn w:val="DefaultParagraphFont"/>
    <w:uiPriority w:val="99"/>
    <w:semiHidden/>
    <w:unhideWhenUsed/>
    <w:rsid w:val="00C76EDE"/>
    <w:rPr>
      <w:color w:val="605E5C"/>
      <w:shd w:val="clear" w:color="auto" w:fill="E1DFDD"/>
    </w:rPr>
  </w:style>
  <w:style w:type="character" w:customStyle="1" w:styleId="Mentionnonrsolue21">
    <w:name w:val="Mention non résolue21"/>
    <w:basedOn w:val="DefaultParagraphFont"/>
    <w:uiPriority w:val="99"/>
    <w:semiHidden/>
    <w:unhideWhenUsed/>
    <w:rsid w:val="00D06156"/>
    <w:rPr>
      <w:color w:val="605E5C"/>
      <w:shd w:val="clear" w:color="auto" w:fill="E1DFDD"/>
    </w:rPr>
  </w:style>
  <w:style w:type="character" w:customStyle="1" w:styleId="Mentionnonrsolue22">
    <w:name w:val="Mention non résolue22"/>
    <w:basedOn w:val="DefaultParagraphFont"/>
    <w:uiPriority w:val="99"/>
    <w:semiHidden/>
    <w:unhideWhenUsed/>
    <w:rsid w:val="008144A3"/>
    <w:rPr>
      <w:color w:val="605E5C"/>
      <w:shd w:val="clear" w:color="auto" w:fill="E1DFDD"/>
    </w:rPr>
  </w:style>
  <w:style w:type="paragraph" w:styleId="NormalWeb">
    <w:name w:val="Normal (Web)"/>
    <w:basedOn w:val="Normal"/>
    <w:uiPriority w:val="99"/>
    <w:unhideWhenUsed/>
    <w:rsid w:val="003906CA"/>
    <w:pPr>
      <w:spacing w:before="100" w:beforeAutospacing="1" w:after="100" w:afterAutospacing="1"/>
    </w:pPr>
  </w:style>
  <w:style w:type="character" w:customStyle="1" w:styleId="Mentionnonrsolue23">
    <w:name w:val="Mention non résolue23"/>
    <w:basedOn w:val="DefaultParagraphFont"/>
    <w:uiPriority w:val="99"/>
    <w:semiHidden/>
    <w:unhideWhenUsed/>
    <w:rsid w:val="004041B3"/>
    <w:rPr>
      <w:color w:val="605E5C"/>
      <w:shd w:val="clear" w:color="auto" w:fill="E1DFDD"/>
    </w:rPr>
  </w:style>
  <w:style w:type="paragraph" w:styleId="Revision">
    <w:name w:val="Revision"/>
    <w:hidden/>
    <w:uiPriority w:val="99"/>
    <w:semiHidden/>
    <w:rsid w:val="001D5736"/>
    <w:rPr>
      <w:lang w:eastAsia="fr-FR"/>
    </w:rPr>
  </w:style>
  <w:style w:type="character" w:styleId="CommentReference">
    <w:name w:val="annotation reference"/>
    <w:basedOn w:val="DefaultParagraphFont"/>
    <w:uiPriority w:val="99"/>
    <w:semiHidden/>
    <w:unhideWhenUsed/>
    <w:rsid w:val="001D5736"/>
    <w:rPr>
      <w:sz w:val="16"/>
      <w:szCs w:val="16"/>
    </w:rPr>
  </w:style>
  <w:style w:type="paragraph" w:styleId="CommentText">
    <w:name w:val="annotation text"/>
    <w:basedOn w:val="Normal"/>
    <w:link w:val="CommentTextChar"/>
    <w:uiPriority w:val="99"/>
    <w:semiHidden/>
    <w:unhideWhenUsed/>
    <w:rsid w:val="001D5736"/>
    <w:rPr>
      <w:sz w:val="20"/>
      <w:szCs w:val="20"/>
    </w:rPr>
  </w:style>
  <w:style w:type="character" w:customStyle="1" w:styleId="CommentTextChar">
    <w:name w:val="Comment Text Char"/>
    <w:basedOn w:val="DefaultParagraphFont"/>
    <w:link w:val="CommentText"/>
    <w:uiPriority w:val="99"/>
    <w:semiHidden/>
    <w:rsid w:val="001D5736"/>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1D5736"/>
    <w:rPr>
      <w:b/>
      <w:bCs/>
    </w:rPr>
  </w:style>
  <w:style w:type="character" w:customStyle="1" w:styleId="CommentSubjectChar">
    <w:name w:val="Comment Subject Char"/>
    <w:basedOn w:val="CommentTextChar"/>
    <w:link w:val="CommentSubject"/>
    <w:uiPriority w:val="99"/>
    <w:semiHidden/>
    <w:rsid w:val="001D5736"/>
    <w:rPr>
      <w:rFonts w:ascii="Times New Roman" w:eastAsia="Times New Roman" w:hAnsi="Times New Roman" w:cs="Times New Roman"/>
      <w:b/>
      <w:bCs/>
      <w:sz w:val="20"/>
      <w:szCs w:val="20"/>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C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Mentionnonrsolue24">
    <w:name w:val="Mention non résolue24"/>
    <w:basedOn w:val="DefaultParagraphFont"/>
    <w:uiPriority w:val="99"/>
    <w:semiHidden/>
    <w:unhideWhenUsed/>
    <w:rsid w:val="00370309"/>
    <w:rPr>
      <w:color w:val="605E5C"/>
      <w:shd w:val="clear" w:color="auto" w:fill="E1DFDD"/>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775AB4"/>
    <w:rPr>
      <w:color w:val="605E5C"/>
      <w:shd w:val="clear" w:color="auto" w:fill="E1DFDD"/>
    </w:rPr>
  </w:style>
  <w:style w:type="character" w:customStyle="1" w:styleId="il">
    <w:name w:val="il"/>
    <w:basedOn w:val="DefaultParagraphFont"/>
    <w:rsid w:val="00C25F07"/>
  </w:style>
  <w:style w:type="character" w:customStyle="1" w:styleId="UnresolvedMention2">
    <w:name w:val="Unresolved Mention2"/>
    <w:basedOn w:val="DefaultParagraphFont"/>
    <w:uiPriority w:val="99"/>
    <w:semiHidden/>
    <w:unhideWhenUsed/>
    <w:rsid w:val="00A0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0031">
      <w:bodyDiv w:val="1"/>
      <w:marLeft w:val="0"/>
      <w:marRight w:val="0"/>
      <w:marTop w:val="0"/>
      <w:marBottom w:val="0"/>
      <w:divBdr>
        <w:top w:val="none" w:sz="0" w:space="0" w:color="auto"/>
        <w:left w:val="none" w:sz="0" w:space="0" w:color="auto"/>
        <w:bottom w:val="none" w:sz="0" w:space="0" w:color="auto"/>
        <w:right w:val="none" w:sz="0" w:space="0" w:color="auto"/>
      </w:divBdr>
    </w:div>
    <w:div w:id="94638218">
      <w:bodyDiv w:val="1"/>
      <w:marLeft w:val="0"/>
      <w:marRight w:val="0"/>
      <w:marTop w:val="0"/>
      <w:marBottom w:val="0"/>
      <w:divBdr>
        <w:top w:val="none" w:sz="0" w:space="0" w:color="auto"/>
        <w:left w:val="none" w:sz="0" w:space="0" w:color="auto"/>
        <w:bottom w:val="none" w:sz="0" w:space="0" w:color="auto"/>
        <w:right w:val="none" w:sz="0" w:space="0" w:color="auto"/>
      </w:divBdr>
    </w:div>
    <w:div w:id="172257608">
      <w:bodyDiv w:val="1"/>
      <w:marLeft w:val="0"/>
      <w:marRight w:val="0"/>
      <w:marTop w:val="0"/>
      <w:marBottom w:val="0"/>
      <w:divBdr>
        <w:top w:val="none" w:sz="0" w:space="0" w:color="auto"/>
        <w:left w:val="none" w:sz="0" w:space="0" w:color="auto"/>
        <w:bottom w:val="none" w:sz="0" w:space="0" w:color="auto"/>
        <w:right w:val="none" w:sz="0" w:space="0" w:color="auto"/>
      </w:divBdr>
    </w:div>
    <w:div w:id="197282630">
      <w:bodyDiv w:val="1"/>
      <w:marLeft w:val="0"/>
      <w:marRight w:val="0"/>
      <w:marTop w:val="0"/>
      <w:marBottom w:val="0"/>
      <w:divBdr>
        <w:top w:val="none" w:sz="0" w:space="0" w:color="auto"/>
        <w:left w:val="none" w:sz="0" w:space="0" w:color="auto"/>
        <w:bottom w:val="none" w:sz="0" w:space="0" w:color="auto"/>
        <w:right w:val="none" w:sz="0" w:space="0" w:color="auto"/>
      </w:divBdr>
    </w:div>
    <w:div w:id="629626316">
      <w:bodyDiv w:val="1"/>
      <w:marLeft w:val="0"/>
      <w:marRight w:val="0"/>
      <w:marTop w:val="0"/>
      <w:marBottom w:val="0"/>
      <w:divBdr>
        <w:top w:val="none" w:sz="0" w:space="0" w:color="auto"/>
        <w:left w:val="none" w:sz="0" w:space="0" w:color="auto"/>
        <w:bottom w:val="none" w:sz="0" w:space="0" w:color="auto"/>
        <w:right w:val="none" w:sz="0" w:space="0" w:color="auto"/>
      </w:divBdr>
    </w:div>
    <w:div w:id="796873511">
      <w:bodyDiv w:val="1"/>
      <w:marLeft w:val="0"/>
      <w:marRight w:val="0"/>
      <w:marTop w:val="0"/>
      <w:marBottom w:val="0"/>
      <w:divBdr>
        <w:top w:val="none" w:sz="0" w:space="0" w:color="auto"/>
        <w:left w:val="none" w:sz="0" w:space="0" w:color="auto"/>
        <w:bottom w:val="none" w:sz="0" w:space="0" w:color="auto"/>
        <w:right w:val="none" w:sz="0" w:space="0" w:color="auto"/>
      </w:divBdr>
    </w:div>
    <w:div w:id="947851178">
      <w:bodyDiv w:val="1"/>
      <w:marLeft w:val="0"/>
      <w:marRight w:val="0"/>
      <w:marTop w:val="0"/>
      <w:marBottom w:val="0"/>
      <w:divBdr>
        <w:top w:val="none" w:sz="0" w:space="0" w:color="auto"/>
        <w:left w:val="none" w:sz="0" w:space="0" w:color="auto"/>
        <w:bottom w:val="none" w:sz="0" w:space="0" w:color="auto"/>
        <w:right w:val="none" w:sz="0" w:space="0" w:color="auto"/>
      </w:divBdr>
    </w:div>
    <w:div w:id="1037513847">
      <w:bodyDiv w:val="1"/>
      <w:marLeft w:val="0"/>
      <w:marRight w:val="0"/>
      <w:marTop w:val="0"/>
      <w:marBottom w:val="0"/>
      <w:divBdr>
        <w:top w:val="none" w:sz="0" w:space="0" w:color="auto"/>
        <w:left w:val="none" w:sz="0" w:space="0" w:color="auto"/>
        <w:bottom w:val="none" w:sz="0" w:space="0" w:color="auto"/>
        <w:right w:val="none" w:sz="0" w:space="0" w:color="auto"/>
      </w:divBdr>
    </w:div>
    <w:div w:id="1713193682">
      <w:bodyDiv w:val="1"/>
      <w:marLeft w:val="0"/>
      <w:marRight w:val="0"/>
      <w:marTop w:val="0"/>
      <w:marBottom w:val="0"/>
      <w:divBdr>
        <w:top w:val="none" w:sz="0" w:space="0" w:color="auto"/>
        <w:left w:val="none" w:sz="0" w:space="0" w:color="auto"/>
        <w:bottom w:val="none" w:sz="0" w:space="0" w:color="auto"/>
        <w:right w:val="none" w:sz="0" w:space="0" w:color="auto"/>
      </w:divBdr>
    </w:div>
    <w:div w:id="1789592387">
      <w:bodyDiv w:val="1"/>
      <w:marLeft w:val="0"/>
      <w:marRight w:val="0"/>
      <w:marTop w:val="0"/>
      <w:marBottom w:val="0"/>
      <w:divBdr>
        <w:top w:val="none" w:sz="0" w:space="0" w:color="auto"/>
        <w:left w:val="none" w:sz="0" w:space="0" w:color="auto"/>
        <w:bottom w:val="none" w:sz="0" w:space="0" w:color="auto"/>
        <w:right w:val="none" w:sz="0" w:space="0" w:color="auto"/>
      </w:divBdr>
    </w:div>
    <w:div w:id="1856536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room.spotify.com/2024-03-04/the-european-commission-confirms-apples-anti-competitive-behavior-is-illegal-and-harms-consumers/" TargetMode="External"/><Relationship Id="rId18" Type="http://schemas.openxmlformats.org/officeDocument/2006/relationships/hyperlink" Target="https://www.obs.coe.int/en/web/observatoire/-/30-of-svod-viewing-time-goes-to-content-from-the-european-union-plus-uk" TargetMode="External"/><Relationship Id="rId26" Type="http://schemas.openxmlformats.org/officeDocument/2006/relationships/hyperlink" Target="https://variety.com/2024/tv/global/bbc-studios-itv-britbox-international-1235927395/" TargetMode="External"/><Relationship Id="rId39" Type="http://schemas.openxmlformats.org/officeDocument/2006/relationships/hyperlink" Target="https://techcrunch.com/2024/03/04/apple-plans-to-appeal-european-commissions-e1-84-billion-antitrust-fine-favoring-spotify/?guce_referrer=aHR0cHM6Ly93d3cuZ29vZ2xlLmJlLw&amp;guce_referrer_sig=AQAAAM0yVL4tTsoHK04gt9FG-YwY0JbLw72KsMi2dY-CTSA2rzuHprFfehjnDbXA9Ye0OClxK8wd_ZCAMsLIVY-Iq6Or_lWMbODQk63O5quhgjbbYHHHkkEJx11yB7HMLZq_ePnLWV6PmZFVgx_KtZ98yyaYKZOBrAsZ3exQQBcWz2am&amp;guccounter=2" TargetMode="External"/><Relationship Id="rId21" Type="http://schemas.openxmlformats.org/officeDocument/2006/relationships/hyperlink" Target="https://www.ifpi.org/eu-ai-act-joint-statement-from-european-creators-and-rightsholders/" TargetMode="External"/><Relationship Id="rId34" Type="http://schemas.openxmlformats.org/officeDocument/2006/relationships/hyperlink" Target="https://mashable.com/article/freely-uk-streamer" TargetMode="External"/><Relationship Id="rId42" Type="http://schemas.openxmlformats.org/officeDocument/2006/relationships/hyperlink" Target="https://www.ifpi.org/ifpi-global-music-report-global-recorded-music-revenues-grew-10-2-in-2023/" TargetMode="External"/><Relationship Id="rId47" Type="http://schemas.openxmlformats.org/officeDocument/2006/relationships/hyperlink" Target="mailto:ceim@uqam.ca"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m.coe.int/svod-usage-report-in-the-eu-2023-december-2023-c-grece-and-j-a-tran/1680af0850" TargetMode="External"/><Relationship Id="rId29" Type="http://schemas.openxmlformats.org/officeDocument/2006/relationships/hyperlink" Target="https://www.theverge.com/2024/3/27/24112747/disney-plus-hulu-tile-app-streaming" TargetMode="External"/><Relationship Id="rId11" Type="http://schemas.openxmlformats.org/officeDocument/2006/relationships/hyperlink" Target="https://techcrunch.com/2024/03/04/apple-plans-to-appeal-european-commissions-e1-84-billion-antitrust-fine-favoring-spotify/?guce_referrer=aHR0cHM6Ly93d3cuZ29vZ2xlLmJlLw&amp;guce_referrer_sig=AQAAAM0yVL4tTsoHK04gt9FG-YwY0JbLw72KsMi2dY-CTSA2rzuHprFfehjnDbXA9Ye0OClxK8wd_ZCAMsLIVY-Iq6Or_lWMbODQk63O5quhgjbbYHHHkkEJx11yB7HMLZq_ePnLWV6PmZFVgx_KtZ98yyaYKZOBrAsZ3exQQBcWz2am&amp;guccounter=2" TargetMode="External"/><Relationship Id="rId24" Type="http://schemas.openxmlformats.org/officeDocument/2006/relationships/hyperlink" Target="https://www.ifpi.org/ifpi-global-music-report-global-recorded-music-revenues-grew-10-2-in-2023/" TargetMode="External"/><Relationship Id="rId32" Type="http://schemas.openxmlformats.org/officeDocument/2006/relationships/hyperlink" Target="https://www.theverge.com/2024/3/25/24110545/spotify-online-courses-learning-video-test-uk-skillshare-bbc-maestro-playvirtuoso" TargetMode="External"/><Relationship Id="rId37" Type="http://schemas.openxmlformats.org/officeDocument/2006/relationships/hyperlink" Target="https://www.latimes.com/entertainment-arts/business/story/2024-03-06/how-netflix-held-onto-its-crown-as-king-of-streaming" TargetMode="External"/><Relationship Id="rId40" Type="http://schemas.openxmlformats.org/officeDocument/2006/relationships/hyperlink" Target="https://www.obs.coe.int/en/web/observatoire/-/30-of-svod-viewing-time-goes-to-content-from-the-european-union-plus-uk" TargetMode="External"/><Relationship Id="rId45" Type="http://schemas.openxmlformats.org/officeDocument/2006/relationships/hyperlink" Target="https://www.theverge.com/2024/3/27/24112747/disney-plus-hulu-tile-app-streaming"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uractiv.com/section/artificial-intelligence/news/ai-acts-global-effects-might-be-overstated-experts-say/" TargetMode="External"/><Relationship Id="rId31" Type="http://schemas.openxmlformats.org/officeDocument/2006/relationships/hyperlink" Target="https://www.theverge.com/2024/3/25/24110545/spotify-online-courses-learning-video-test-uk-skillshare-bbc-maestro-playvirtuoso" TargetMode="External"/><Relationship Id="rId44" Type="http://schemas.openxmlformats.org/officeDocument/2006/relationships/hyperlink" Target="https://variety.com/2024/tv/global/bbc-itv-channel-4-channel-5-free-streaming-freely-launch-1235897880/"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chcrunch.com/2024/03/04/spotify-calls-apples-e1-84b-antitrust-fine-a-powerful-message-but-cautions-that-the-next-steps-matter/" TargetMode="External"/><Relationship Id="rId22" Type="http://schemas.openxmlformats.org/officeDocument/2006/relationships/hyperlink" Target="https://deadline.com/2024/01/netflix-amazon-streaming-regulation-producer-global-statement-1235793925/" TargetMode="External"/><Relationship Id="rId27" Type="http://schemas.openxmlformats.org/officeDocument/2006/relationships/hyperlink" Target="https://www.hollywoodreporter.com/business/business-news/bbc-studios-itv-britbox-deal-1235840449/" TargetMode="External"/><Relationship Id="rId30" Type="http://schemas.openxmlformats.org/officeDocument/2006/relationships/hyperlink" Target="https://www.vulture.com/article/disney-plus-hulu-combined-streaming-app.html" TargetMode="External"/><Relationship Id="rId35" Type="http://schemas.openxmlformats.org/officeDocument/2006/relationships/hyperlink" Target="https://deadline.com/2024/03/france-televisions-delphine-ernotte-cunci-salto-collapse-mistake-1235864323/" TargetMode="External"/><Relationship Id="rId43" Type="http://schemas.openxmlformats.org/officeDocument/2006/relationships/hyperlink" Target="https://www.hollywoodreporter.com/business/business-news/bbc-studios-itv-britbox-deal-1235840449/" TargetMode="External"/><Relationship Id="rId48" Type="http://schemas.openxmlformats.org/officeDocument/2006/relationships/hyperlink" Target="http://www.ceim.uqam.ca"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apple.com/newsroom/2024/03/the-app-store-spotify-and-europes-thriving-digital-music-market/" TargetMode="External"/><Relationship Id="rId17" Type="http://schemas.openxmlformats.org/officeDocument/2006/relationships/hyperlink" Target="https://rm.coe.int/vod-catalogues-2023-film-and-tv-content-2023-edition-c-grece/1680af084e" TargetMode="External"/><Relationship Id="rId25" Type="http://schemas.openxmlformats.org/officeDocument/2006/relationships/hyperlink" Target="https://ifpi-website-cms.s3.eu-west-2.amazonaws.com/IFPI_GMR_2024_State_of_the_Industry_db92a1c9c1.pdf" TargetMode="External"/><Relationship Id="rId33" Type="http://schemas.openxmlformats.org/officeDocument/2006/relationships/hyperlink" Target="https://variety.com/2024/tv/global/bbc-itv-channel-4-channel-5-free-streaming-freely-launch-1235897880/" TargetMode="External"/><Relationship Id="rId38" Type="http://schemas.openxmlformats.org/officeDocument/2006/relationships/hyperlink" Target="https://variety.com/2024/tv/global/series-mania-annette-bening-fremantle-federation-1235943246/" TargetMode="External"/><Relationship Id="rId46" Type="http://schemas.openxmlformats.org/officeDocument/2006/relationships/hyperlink" Target="mailto:avlassis@uliege.be" TargetMode="External"/><Relationship Id="rId20" Type="http://schemas.openxmlformats.org/officeDocument/2006/relationships/hyperlink" Target="https://cineuropa.org/en/dossiernewsdetail/1512/458514/" TargetMode="External"/><Relationship Id="rId41" Type="http://schemas.openxmlformats.org/officeDocument/2006/relationships/hyperlink" Target="https://www.euractiv.com/section/artificial-intelligence/news/ai-acts-global-effects-might-be-overstated-experts-sa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uters.com/technology/apple-hit-with-over-18-bln-euro-eu-antitrust-fine-spotify-case-2024-03-04/" TargetMode="External"/><Relationship Id="rId23" Type="http://schemas.openxmlformats.org/officeDocument/2006/relationships/hyperlink" Target="https://variety.com/2024/digital/news/global-production-bodies-unite-streamers-invest-local-content-1235875256/" TargetMode="External"/><Relationship Id="rId28" Type="http://schemas.openxmlformats.org/officeDocument/2006/relationships/hyperlink" Target="https://press.disneyplus.com/hulu-on-disney-plus-launches-today-in-the-us-for-bundle-subscribers" TargetMode="External"/><Relationship Id="rId36" Type="http://schemas.openxmlformats.org/officeDocument/2006/relationships/hyperlink" Target="https://deadline.com/2024/03/france-televisions-delphine-ernotte-cunci-salto-collapse-mistake-1235864323/" TargetMode="External"/><Relationship Id="rId4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B09AEA66D344E9F5898FBFA9972FE" ma:contentTypeVersion="12" ma:contentTypeDescription="Create a new document." ma:contentTypeScope="" ma:versionID="d6dd3f137e752996240765d23003afe3">
  <xsd:schema xmlns:xsd="http://www.w3.org/2001/XMLSchema" xmlns:xs="http://www.w3.org/2001/XMLSchema" xmlns:p="http://schemas.microsoft.com/office/2006/metadata/properties" xmlns:ns3="e868fde3-28eb-41c4-aad0-6de82ea621ca" xmlns:ns4="95ac3970-8acb-49fe-947a-32cb5acf4be9" targetNamespace="http://schemas.microsoft.com/office/2006/metadata/properties" ma:root="true" ma:fieldsID="4a7ac954278a3c20bc5a414d2c518d2b" ns3:_="" ns4:_="">
    <xsd:import namespace="e868fde3-28eb-41c4-aad0-6de82ea621ca"/>
    <xsd:import namespace="95ac3970-8acb-49fe-947a-32cb5acf4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fde3-28eb-41c4-aad0-6de82ea62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c3970-8acb-49fe-947a-32cb5acf4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e7TTd9WeqdOXew+elGoTExbUQ==">CgMxLjAyCWguMzBqMHpsbDIOaC44ZW02M3lnbGV5MXUyCGguZ2pkZ3hzOAByITFfYThWRmsyeVhHNWpYbWxlZE5ZN1h2SWdYd2g4SXc3eA==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e868fde3-28eb-41c4-aad0-6de82ea621ca" xsi:nil="true"/>
  </documentManagement>
</p:properties>
</file>

<file path=customXml/itemProps1.xml><?xml version="1.0" encoding="utf-8"?>
<ds:datastoreItem xmlns:ds="http://schemas.openxmlformats.org/officeDocument/2006/customXml" ds:itemID="{FA3C5A75-52B0-49AB-8AF1-F2AD2E3B819A}">
  <ds:schemaRefs>
    <ds:schemaRef ds:uri="http://schemas.microsoft.com/sharepoint/v3/contenttype/forms"/>
  </ds:schemaRefs>
</ds:datastoreItem>
</file>

<file path=customXml/itemProps2.xml><?xml version="1.0" encoding="utf-8"?>
<ds:datastoreItem xmlns:ds="http://schemas.openxmlformats.org/officeDocument/2006/customXml" ds:itemID="{E97EC753-C810-403F-A791-C12E8F0FD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8fde3-28eb-41c4-aad0-6de82ea621ca"/>
    <ds:schemaRef ds:uri="95ac3970-8acb-49fe-947a-32cb5acf4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4E12E2F-167E-4DD8-8ACA-345C3FDF1F81}">
  <ds:schemaRefs>
    <ds:schemaRef ds:uri="http://schemas.microsoft.com/office/2006/metadata/properties"/>
    <ds:schemaRef ds:uri="http://schemas.microsoft.com/office/infopath/2007/PartnerControls"/>
    <ds:schemaRef ds:uri="e868fde3-28eb-41c4-aad0-6de82ea621c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2945</Words>
  <Characters>16789</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Gilbert Gagné</cp:lastModifiedBy>
  <cp:revision>38</cp:revision>
  <dcterms:created xsi:type="dcterms:W3CDTF">2024-04-03T20:04:00Z</dcterms:created>
  <dcterms:modified xsi:type="dcterms:W3CDTF">2024-04-09T00:55:00Z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0x010100B0EB09AEA66D344E9F5898FBFA9972FE</vt:lpwstr>
  </property>
</Properties>
</file>