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7AEF8" w14:textId="77777777" w:rsidR="00B15D31" w:rsidRPr="00F64DFB" w:rsidRDefault="0025108E" w:rsidP="00F64DFB">
      <w:pPr>
        <w:tabs>
          <w:tab w:val="left" w:pos="3168"/>
        </w:tabs>
        <w:spacing w:line="276" w:lineRule="auto"/>
        <w:jc w:val="both"/>
        <w:rPr>
          <w:rFonts w:ascii="Arial" w:eastAsia="Arial" w:hAnsi="Arial" w:cs="Arial"/>
        </w:rPr>
      </w:pPr>
      <w:r w:rsidRPr="00F64DFB">
        <w:rPr>
          <w:rFonts w:ascii="Arial" w:eastAsia="Arial" w:hAnsi="Arial" w:cs="Arial"/>
        </w:rPr>
        <w:tab/>
      </w:r>
    </w:p>
    <w:tbl>
      <w:tblPr>
        <w:tblStyle w:val="a"/>
        <w:tblW w:w="833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4"/>
      </w:tblGrid>
      <w:tr w:rsidR="00F64DFB" w:rsidRPr="00F64DFB" w14:paraId="650ED2E6" w14:textId="77777777">
        <w:tc>
          <w:tcPr>
            <w:tcW w:w="8334" w:type="dxa"/>
            <w:shd w:val="clear" w:color="auto" w:fill="F4B083"/>
          </w:tcPr>
          <w:p w14:paraId="6DE055F4" w14:textId="77777777" w:rsidR="00B15D31" w:rsidRPr="00F64DFB" w:rsidRDefault="00B15D31" w:rsidP="00F64DFB">
            <w:pPr>
              <w:spacing w:line="276" w:lineRule="auto"/>
              <w:ind w:firstLine="30"/>
              <w:jc w:val="center"/>
              <w:rPr>
                <w:rFonts w:ascii="Arial" w:eastAsia="Arial" w:hAnsi="Arial" w:cs="Arial"/>
                <w:b/>
                <w:sz w:val="28"/>
                <w:szCs w:val="28"/>
              </w:rPr>
            </w:pPr>
          </w:p>
          <w:p w14:paraId="11F239F4" w14:textId="6E376827" w:rsidR="00B41C83" w:rsidRPr="00F64DFB" w:rsidRDefault="00C779A6" w:rsidP="00F64DFB">
            <w:pPr>
              <w:spacing w:line="276" w:lineRule="auto"/>
              <w:jc w:val="center"/>
              <w:rPr>
                <w:rFonts w:ascii="Arial" w:eastAsia="Arial" w:hAnsi="Arial" w:cs="Arial"/>
                <w:b/>
                <w:sz w:val="28"/>
                <w:szCs w:val="28"/>
              </w:rPr>
            </w:pPr>
            <w:r>
              <w:rPr>
                <w:rFonts w:ascii="Arial" w:eastAsia="Arial" w:hAnsi="Arial" w:cs="Arial"/>
                <w:b/>
                <w:sz w:val="28"/>
                <w:szCs w:val="28"/>
              </w:rPr>
              <w:t>G</w:t>
            </w:r>
            <w:r w:rsidR="006074FE">
              <w:rPr>
                <w:rFonts w:ascii="Arial" w:eastAsia="Arial" w:hAnsi="Arial" w:cs="Arial"/>
                <w:b/>
                <w:sz w:val="28"/>
                <w:szCs w:val="28"/>
              </w:rPr>
              <w:t>ouvernance culturelle</w:t>
            </w:r>
            <w:r>
              <w:rPr>
                <w:rFonts w:ascii="Arial" w:eastAsia="Arial" w:hAnsi="Arial" w:cs="Arial"/>
                <w:b/>
                <w:sz w:val="28"/>
                <w:szCs w:val="28"/>
              </w:rPr>
              <w:t xml:space="preserve"> et plateformes</w:t>
            </w:r>
            <w:r w:rsidR="00B41C83" w:rsidRPr="00F64DFB">
              <w:rPr>
                <w:rFonts w:ascii="Arial" w:eastAsia="Arial" w:hAnsi="Arial" w:cs="Arial"/>
                <w:b/>
                <w:sz w:val="28"/>
                <w:szCs w:val="28"/>
              </w:rPr>
              <w:t xml:space="preserve"> </w:t>
            </w:r>
            <w:r w:rsidR="008171E4" w:rsidRPr="00F64DFB">
              <w:rPr>
                <w:rFonts w:ascii="Arial" w:eastAsia="Arial" w:hAnsi="Arial" w:cs="Arial"/>
                <w:b/>
                <w:sz w:val="28"/>
                <w:szCs w:val="28"/>
              </w:rPr>
              <w:t xml:space="preserve">: </w:t>
            </w:r>
          </w:p>
          <w:p w14:paraId="524E6734" w14:textId="7C99323C" w:rsidR="00B15D31" w:rsidRPr="00F64DFB" w:rsidRDefault="007B03C2" w:rsidP="00F64DFB">
            <w:pPr>
              <w:spacing w:line="276" w:lineRule="auto"/>
              <w:jc w:val="center"/>
              <w:rPr>
                <w:rFonts w:ascii="Arial" w:eastAsia="Arial" w:hAnsi="Arial" w:cs="Arial"/>
                <w:b/>
                <w:sz w:val="28"/>
                <w:szCs w:val="28"/>
              </w:rPr>
            </w:pPr>
            <w:r>
              <w:rPr>
                <w:rFonts w:ascii="Arial" w:eastAsia="Arial" w:hAnsi="Arial" w:cs="Arial"/>
                <w:b/>
                <w:sz w:val="28"/>
                <w:szCs w:val="28"/>
              </w:rPr>
              <w:t>Pratiques inéquitables et enjeu</w:t>
            </w:r>
            <w:r w:rsidR="006046D9">
              <w:rPr>
                <w:rFonts w:ascii="Arial" w:eastAsia="Arial" w:hAnsi="Arial" w:cs="Arial"/>
                <w:b/>
                <w:sz w:val="28"/>
                <w:szCs w:val="28"/>
              </w:rPr>
              <w:t>x</w:t>
            </w:r>
            <w:r>
              <w:rPr>
                <w:rFonts w:ascii="Arial" w:eastAsia="Arial" w:hAnsi="Arial" w:cs="Arial"/>
                <w:b/>
                <w:sz w:val="28"/>
                <w:szCs w:val="28"/>
              </w:rPr>
              <w:t xml:space="preserve"> de réglementation</w:t>
            </w:r>
          </w:p>
          <w:p w14:paraId="24DA0F95" w14:textId="77777777" w:rsidR="00B15D31" w:rsidRPr="00F64DFB" w:rsidRDefault="00B15D31" w:rsidP="00F64DFB">
            <w:pPr>
              <w:spacing w:line="276" w:lineRule="auto"/>
              <w:jc w:val="center"/>
              <w:rPr>
                <w:rFonts w:ascii="Arial" w:eastAsia="Arial" w:hAnsi="Arial" w:cs="Arial"/>
                <w:b/>
                <w:sz w:val="28"/>
                <w:szCs w:val="28"/>
              </w:rPr>
            </w:pPr>
          </w:p>
          <w:p w14:paraId="5C948ADD" w14:textId="7777777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par Dr. Antonios Vlassis</w:t>
            </w:r>
          </w:p>
          <w:p w14:paraId="49A021EB" w14:textId="7777777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(Center for International Relations Studies-CEFIR, Université de Liège)</w:t>
            </w:r>
          </w:p>
          <w:p w14:paraId="1F4201D9" w14:textId="77777777" w:rsidR="00B15D31" w:rsidRPr="00F64DFB" w:rsidRDefault="00B15D31" w:rsidP="00F64DFB">
            <w:pPr>
              <w:spacing w:line="276" w:lineRule="auto"/>
              <w:ind w:firstLine="30"/>
              <w:jc w:val="center"/>
              <w:rPr>
                <w:rFonts w:ascii="Arial" w:eastAsia="Arial" w:hAnsi="Arial" w:cs="Arial"/>
              </w:rPr>
            </w:pPr>
          </w:p>
          <w:p w14:paraId="424DB4A1" w14:textId="77777777" w:rsidR="00B15D31" w:rsidRPr="00F64DFB" w:rsidRDefault="0025108E" w:rsidP="00F64DFB">
            <w:pPr>
              <w:spacing w:line="276" w:lineRule="auto"/>
              <w:ind w:firstLine="30"/>
              <w:jc w:val="center"/>
              <w:rPr>
                <w:rFonts w:ascii="Arial" w:eastAsia="Arial" w:hAnsi="Arial" w:cs="Arial"/>
                <w:b/>
              </w:rPr>
            </w:pPr>
            <w:r w:rsidRPr="00F64DFB">
              <w:rPr>
                <w:rFonts w:ascii="Arial" w:eastAsia="Arial" w:hAnsi="Arial" w:cs="Arial"/>
                <w:b/>
              </w:rPr>
              <w:t>Rapport d’analyse</w:t>
            </w:r>
          </w:p>
          <w:p w14:paraId="3A175350" w14:textId="6EE016A4"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n°</w:t>
            </w:r>
            <w:r w:rsidR="008171E4" w:rsidRPr="00F64DFB">
              <w:rPr>
                <w:rFonts w:ascii="Arial" w:eastAsia="Arial" w:hAnsi="Arial" w:cs="Arial"/>
              </w:rPr>
              <w:t>4</w:t>
            </w:r>
            <w:r w:rsidR="00FD0261">
              <w:rPr>
                <w:rFonts w:ascii="Arial" w:eastAsia="Arial" w:hAnsi="Arial" w:cs="Arial"/>
              </w:rPr>
              <w:t>3</w:t>
            </w:r>
            <w:r w:rsidRPr="00F64DFB">
              <w:rPr>
                <w:rFonts w:ascii="Arial" w:eastAsia="Arial" w:hAnsi="Arial" w:cs="Arial"/>
              </w:rPr>
              <w:t xml:space="preserve">, </w:t>
            </w:r>
            <w:r w:rsidR="007B03C2">
              <w:rPr>
                <w:rFonts w:ascii="Arial" w:eastAsia="Arial" w:hAnsi="Arial" w:cs="Arial"/>
              </w:rPr>
              <w:t>avril</w:t>
            </w:r>
            <w:r w:rsidRPr="00F64DFB">
              <w:rPr>
                <w:rFonts w:ascii="Arial" w:eastAsia="Arial" w:hAnsi="Arial" w:cs="Arial"/>
              </w:rPr>
              <w:t xml:space="preserve"> 202</w:t>
            </w:r>
            <w:r w:rsidR="00E82A60">
              <w:rPr>
                <w:rFonts w:ascii="Arial" w:eastAsia="Arial" w:hAnsi="Arial" w:cs="Arial"/>
              </w:rPr>
              <w:t>4</w:t>
            </w:r>
          </w:p>
          <w:p w14:paraId="2BE40133" w14:textId="77777777" w:rsidR="00B15D31" w:rsidRPr="00F64DFB" w:rsidRDefault="00B15D31" w:rsidP="00F64DFB">
            <w:pPr>
              <w:tabs>
                <w:tab w:val="left" w:pos="3168"/>
              </w:tabs>
              <w:spacing w:line="276" w:lineRule="auto"/>
              <w:jc w:val="both"/>
              <w:rPr>
                <w:rFonts w:ascii="Arial" w:eastAsia="Arial" w:hAnsi="Arial" w:cs="Arial"/>
              </w:rPr>
            </w:pPr>
          </w:p>
        </w:tc>
      </w:tr>
    </w:tbl>
    <w:p w14:paraId="56B972EF" w14:textId="3DA7D5CD" w:rsidR="00FD0261" w:rsidRPr="00FD0261" w:rsidRDefault="00FD0261" w:rsidP="00FD0261">
      <w:pPr>
        <w:spacing w:before="288" w:after="288" w:line="276" w:lineRule="auto"/>
        <w:ind w:left="426" w:right="714"/>
        <w:jc w:val="both"/>
        <w:rPr>
          <w:rFonts w:ascii="Arial" w:eastAsia="Arial" w:hAnsi="Arial" w:cs="Arial"/>
          <w:sz w:val="22"/>
          <w:szCs w:val="22"/>
        </w:rPr>
      </w:pPr>
      <w:r w:rsidRPr="00FD0261">
        <w:rPr>
          <w:rFonts w:ascii="Arial" w:eastAsia="Arial" w:hAnsi="Arial" w:cs="Arial"/>
          <w:sz w:val="22"/>
          <w:szCs w:val="22"/>
        </w:rPr>
        <w:t xml:space="preserve">Le rapport d'avril </w:t>
      </w:r>
      <w:r w:rsidR="007B03C2">
        <w:rPr>
          <w:rFonts w:ascii="Arial" w:eastAsia="Arial" w:hAnsi="Arial" w:cs="Arial"/>
          <w:sz w:val="22"/>
          <w:szCs w:val="22"/>
        </w:rPr>
        <w:t>débute</w:t>
      </w:r>
      <w:r w:rsidRPr="00FD0261">
        <w:rPr>
          <w:rFonts w:ascii="Arial" w:eastAsia="Arial" w:hAnsi="Arial" w:cs="Arial"/>
          <w:sz w:val="22"/>
          <w:szCs w:val="22"/>
        </w:rPr>
        <w:t xml:space="preserve"> par la bataille entre Apple et la Commission européenne, cette dernière ayant imposé sa toute première amende à Apple pour avoir prétendument enfreint la législation de l'U</w:t>
      </w:r>
      <w:r w:rsidR="006046D9">
        <w:rPr>
          <w:rFonts w:ascii="Arial" w:eastAsia="Arial" w:hAnsi="Arial" w:cs="Arial"/>
          <w:sz w:val="22"/>
          <w:szCs w:val="22"/>
        </w:rPr>
        <w:t>nion européenne (U</w:t>
      </w:r>
      <w:r w:rsidRPr="00FD0261">
        <w:rPr>
          <w:rFonts w:ascii="Arial" w:eastAsia="Arial" w:hAnsi="Arial" w:cs="Arial"/>
          <w:sz w:val="22"/>
          <w:szCs w:val="22"/>
        </w:rPr>
        <w:t>E</w:t>
      </w:r>
      <w:r w:rsidR="006046D9">
        <w:rPr>
          <w:rFonts w:ascii="Arial" w:eastAsia="Arial" w:hAnsi="Arial" w:cs="Arial"/>
          <w:sz w:val="22"/>
          <w:szCs w:val="22"/>
        </w:rPr>
        <w:t>)</w:t>
      </w:r>
      <w:r w:rsidRPr="00FD0261">
        <w:rPr>
          <w:rFonts w:ascii="Arial" w:eastAsia="Arial" w:hAnsi="Arial" w:cs="Arial"/>
          <w:sz w:val="22"/>
          <w:szCs w:val="22"/>
        </w:rPr>
        <w:t xml:space="preserve"> concernant son service de diffusion de musique en continu. En outre, le rapport se concentre sur deux </w:t>
      </w:r>
      <w:r w:rsidR="00193BE3">
        <w:rPr>
          <w:rFonts w:ascii="Arial" w:eastAsia="Arial" w:hAnsi="Arial" w:cs="Arial"/>
          <w:sz w:val="22"/>
          <w:szCs w:val="22"/>
        </w:rPr>
        <w:t>études</w:t>
      </w:r>
      <w:r w:rsidRPr="00FD0261">
        <w:rPr>
          <w:rFonts w:ascii="Arial" w:eastAsia="Arial" w:hAnsi="Arial" w:cs="Arial"/>
          <w:sz w:val="22"/>
          <w:szCs w:val="22"/>
        </w:rPr>
        <w:t xml:space="preserve"> de l'Observatoire européen de l'audiovisuel traitant du marché européen d</w:t>
      </w:r>
      <w:r w:rsidR="007B03C2">
        <w:rPr>
          <w:rFonts w:ascii="Arial" w:eastAsia="Arial" w:hAnsi="Arial" w:cs="Arial"/>
          <w:sz w:val="22"/>
          <w:szCs w:val="22"/>
        </w:rPr>
        <w:t>e diffusion en continu</w:t>
      </w:r>
      <w:r w:rsidRPr="00FD0261">
        <w:rPr>
          <w:rFonts w:ascii="Arial" w:eastAsia="Arial" w:hAnsi="Arial" w:cs="Arial"/>
          <w:sz w:val="22"/>
          <w:szCs w:val="22"/>
        </w:rPr>
        <w:t xml:space="preserve"> audiovisuel</w:t>
      </w:r>
      <w:r w:rsidR="007B03C2">
        <w:rPr>
          <w:rFonts w:ascii="Arial" w:eastAsia="Arial" w:hAnsi="Arial" w:cs="Arial"/>
          <w:sz w:val="22"/>
          <w:szCs w:val="22"/>
        </w:rPr>
        <w:t>le</w:t>
      </w:r>
      <w:r w:rsidRPr="00FD0261">
        <w:rPr>
          <w:rFonts w:ascii="Arial" w:eastAsia="Arial" w:hAnsi="Arial" w:cs="Arial"/>
          <w:sz w:val="22"/>
          <w:szCs w:val="22"/>
        </w:rPr>
        <w:t xml:space="preserve">. </w:t>
      </w:r>
      <w:r w:rsidR="006046D9">
        <w:rPr>
          <w:rFonts w:ascii="Arial" w:eastAsia="Arial" w:hAnsi="Arial" w:cs="Arial"/>
          <w:sz w:val="22"/>
          <w:szCs w:val="22"/>
        </w:rPr>
        <w:t>L</w:t>
      </w:r>
      <w:r w:rsidRPr="00FD0261">
        <w:rPr>
          <w:rFonts w:ascii="Arial" w:eastAsia="Arial" w:hAnsi="Arial" w:cs="Arial"/>
          <w:sz w:val="22"/>
          <w:szCs w:val="22"/>
        </w:rPr>
        <w:t xml:space="preserve">e rapport met </w:t>
      </w:r>
      <w:r w:rsidR="006046D9" w:rsidRPr="006046D9">
        <w:rPr>
          <w:rFonts w:ascii="Arial" w:eastAsia="Arial" w:hAnsi="Arial" w:cs="Arial"/>
          <w:sz w:val="22"/>
          <w:szCs w:val="22"/>
        </w:rPr>
        <w:t xml:space="preserve">également </w:t>
      </w:r>
      <w:r w:rsidRPr="00FD0261">
        <w:rPr>
          <w:rFonts w:ascii="Arial" w:eastAsia="Arial" w:hAnsi="Arial" w:cs="Arial"/>
          <w:sz w:val="22"/>
          <w:szCs w:val="22"/>
        </w:rPr>
        <w:t>en lumière deux déclarations clés émanant d'un grand nombre d'organisations actives dans les industries culturelles et créatives, demandant une réglementation ciblée sur les systèmes d'intelligence artificielle</w:t>
      </w:r>
      <w:r w:rsidR="00297C18">
        <w:rPr>
          <w:rFonts w:ascii="Arial" w:eastAsia="Arial" w:hAnsi="Arial" w:cs="Arial"/>
          <w:sz w:val="22"/>
          <w:szCs w:val="22"/>
        </w:rPr>
        <w:t xml:space="preserve"> (IA)</w:t>
      </w:r>
      <w:r w:rsidRPr="00FD0261">
        <w:rPr>
          <w:rFonts w:ascii="Arial" w:eastAsia="Arial" w:hAnsi="Arial" w:cs="Arial"/>
          <w:sz w:val="22"/>
          <w:szCs w:val="22"/>
        </w:rPr>
        <w:t xml:space="preserve"> et les pratiques des plateformes de </w:t>
      </w:r>
      <w:r w:rsidR="007B03C2">
        <w:rPr>
          <w:rFonts w:ascii="Arial" w:eastAsia="Arial" w:hAnsi="Arial" w:cs="Arial"/>
          <w:sz w:val="22"/>
          <w:szCs w:val="22"/>
        </w:rPr>
        <w:t>diffusion en continu</w:t>
      </w:r>
      <w:r w:rsidRPr="00FD0261">
        <w:rPr>
          <w:rFonts w:ascii="Arial" w:eastAsia="Arial" w:hAnsi="Arial" w:cs="Arial"/>
          <w:sz w:val="22"/>
          <w:szCs w:val="22"/>
        </w:rPr>
        <w:t xml:space="preserve">. Le rapport s'intéresse </w:t>
      </w:r>
      <w:r w:rsidR="006046D9">
        <w:rPr>
          <w:rFonts w:ascii="Arial" w:eastAsia="Arial" w:hAnsi="Arial" w:cs="Arial"/>
          <w:sz w:val="22"/>
          <w:szCs w:val="22"/>
        </w:rPr>
        <w:t xml:space="preserve">aussi </w:t>
      </w:r>
      <w:r w:rsidR="00193BE3">
        <w:rPr>
          <w:rFonts w:ascii="Arial" w:eastAsia="Arial" w:hAnsi="Arial" w:cs="Arial"/>
          <w:sz w:val="22"/>
          <w:szCs w:val="22"/>
        </w:rPr>
        <w:t>à la nouvelle étude</w:t>
      </w:r>
      <w:r w:rsidRPr="00FD0261">
        <w:rPr>
          <w:rFonts w:ascii="Arial" w:eastAsia="Arial" w:hAnsi="Arial" w:cs="Arial"/>
          <w:sz w:val="22"/>
          <w:szCs w:val="22"/>
        </w:rPr>
        <w:t xml:space="preserve"> de la Fédération internationale de l'industrie phonographique sur les revenus mondiaux de la musique enregistrée. Enfin, le rapport met l'accent sur </w:t>
      </w:r>
      <w:r w:rsidR="006046D9">
        <w:rPr>
          <w:rFonts w:ascii="Arial" w:eastAsia="Arial" w:hAnsi="Arial" w:cs="Arial"/>
          <w:sz w:val="22"/>
          <w:szCs w:val="22"/>
        </w:rPr>
        <w:t xml:space="preserve">de </w:t>
      </w:r>
      <w:r w:rsidRPr="00FD0261">
        <w:rPr>
          <w:rFonts w:ascii="Arial" w:eastAsia="Arial" w:hAnsi="Arial" w:cs="Arial"/>
          <w:sz w:val="22"/>
          <w:szCs w:val="22"/>
        </w:rPr>
        <w:t xml:space="preserve">nouveaux partenariats et la lutte pour les abonnés et l'expansion géographique parmi </w:t>
      </w:r>
      <w:r w:rsidR="007B03C2">
        <w:rPr>
          <w:rFonts w:ascii="Arial" w:eastAsia="Arial" w:hAnsi="Arial" w:cs="Arial"/>
          <w:sz w:val="22"/>
          <w:szCs w:val="22"/>
        </w:rPr>
        <w:t>des services numériques</w:t>
      </w:r>
      <w:r w:rsidRPr="00FD0261">
        <w:rPr>
          <w:rFonts w:ascii="Arial" w:eastAsia="Arial" w:hAnsi="Arial" w:cs="Arial"/>
          <w:sz w:val="22"/>
          <w:szCs w:val="22"/>
        </w:rPr>
        <w:t xml:space="preserve">, en se concentrant sur la BBC, Disney Plus, Spotify et France Télévisions. </w:t>
      </w:r>
    </w:p>
    <w:p w14:paraId="439D67A4" w14:textId="619BAD2A" w:rsidR="00E82A60" w:rsidRPr="00C779A6" w:rsidRDefault="00125179" w:rsidP="00C779A6">
      <w:pPr>
        <w:spacing w:before="288" w:after="288" w:line="276" w:lineRule="auto"/>
        <w:ind w:left="426" w:right="714"/>
        <w:jc w:val="both"/>
        <w:rPr>
          <w:rFonts w:ascii="Arial" w:eastAsia="Arial" w:hAnsi="Arial" w:cs="Arial"/>
          <w:sz w:val="22"/>
          <w:szCs w:val="22"/>
        </w:rPr>
      </w:pPr>
      <w:r w:rsidRPr="00F64DFB">
        <w:rPr>
          <w:rFonts w:ascii="Arial" w:eastAsia="Arial" w:hAnsi="Arial" w:cs="Arial"/>
          <w:b/>
          <w:bCs/>
          <w:sz w:val="22"/>
          <w:szCs w:val="22"/>
        </w:rPr>
        <w:t>Réglementation</w:t>
      </w:r>
      <w:r w:rsidR="00F7314C" w:rsidRPr="00F64DFB">
        <w:rPr>
          <w:rFonts w:ascii="Arial" w:eastAsia="Arial" w:hAnsi="Arial" w:cs="Arial"/>
          <w:b/>
          <w:bCs/>
          <w:sz w:val="22"/>
          <w:szCs w:val="22"/>
        </w:rPr>
        <w:t>s</w:t>
      </w:r>
      <w:r w:rsidRPr="00F64DFB">
        <w:rPr>
          <w:rFonts w:ascii="Arial" w:eastAsia="Arial" w:hAnsi="Arial" w:cs="Arial"/>
          <w:b/>
          <w:bCs/>
          <w:sz w:val="22"/>
          <w:szCs w:val="22"/>
        </w:rPr>
        <w:t>, commerce numérique et culture</w:t>
      </w:r>
    </w:p>
    <w:p w14:paraId="5BE68093" w14:textId="77777777" w:rsidR="00FD0261" w:rsidRPr="00FD0261" w:rsidRDefault="00FD0261" w:rsidP="00FD0261">
      <w:pPr>
        <w:spacing w:before="288" w:after="288" w:line="276" w:lineRule="auto"/>
        <w:ind w:left="426" w:right="714"/>
        <w:jc w:val="both"/>
        <w:rPr>
          <w:rFonts w:ascii="Arial" w:eastAsia="Arial" w:hAnsi="Arial" w:cs="Arial"/>
          <w:i/>
          <w:iCs/>
          <w:sz w:val="22"/>
          <w:szCs w:val="22"/>
        </w:rPr>
      </w:pPr>
      <w:r w:rsidRPr="00FD0261">
        <w:rPr>
          <w:rFonts w:ascii="Arial" w:eastAsia="Arial" w:hAnsi="Arial" w:cs="Arial"/>
          <w:i/>
          <w:iCs/>
          <w:sz w:val="22"/>
          <w:szCs w:val="22"/>
        </w:rPr>
        <w:t>Apple contre Spotify sur les pratiques anticoncurrentielles</w:t>
      </w:r>
    </w:p>
    <w:p w14:paraId="34DF6703" w14:textId="3BFFB175" w:rsidR="00FD0261" w:rsidRP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Début mars, la </w:t>
      </w:r>
      <w:hyperlink r:id="rId11" w:history="1">
        <w:r w:rsidR="008A2F8B" w:rsidRPr="00193BE3">
          <w:rPr>
            <w:rStyle w:val="Hyperlink"/>
            <w:rFonts w:ascii="Arial" w:hAnsi="Arial" w:cs="Arial"/>
            <w:iCs/>
            <w:sz w:val="22"/>
            <w:szCs w:val="22"/>
            <w:lang w:val="fr-FR"/>
          </w:rPr>
          <w:t>Commission</w:t>
        </w:r>
      </w:hyperlink>
      <w:r w:rsidRPr="00FD0261">
        <w:rPr>
          <w:rFonts w:ascii="Arial" w:eastAsia="Arial" w:hAnsi="Arial" w:cs="Arial"/>
          <w:iCs/>
          <w:sz w:val="22"/>
          <w:szCs w:val="22"/>
        </w:rPr>
        <w:t xml:space="preserve"> européenne a infligé une amende historique de 1,84 milliard d'euros à Apple pour ses pratiques anticoncurrentielles et ses </w:t>
      </w:r>
      <w:r w:rsidR="008A2F8B">
        <w:rPr>
          <w:rFonts w:ascii="Arial" w:eastAsia="Arial" w:hAnsi="Arial" w:cs="Arial"/>
          <w:iCs/>
          <w:sz w:val="22"/>
          <w:szCs w:val="22"/>
        </w:rPr>
        <w:t>« </w:t>
      </w:r>
      <w:r w:rsidRPr="00FD0261">
        <w:rPr>
          <w:rFonts w:ascii="Arial" w:eastAsia="Arial" w:hAnsi="Arial" w:cs="Arial"/>
          <w:iCs/>
          <w:sz w:val="22"/>
          <w:szCs w:val="22"/>
        </w:rPr>
        <w:t>conditions commerciales déloyales</w:t>
      </w:r>
      <w:r w:rsidR="008A2F8B">
        <w:rPr>
          <w:rFonts w:ascii="Arial" w:eastAsia="Arial" w:hAnsi="Arial" w:cs="Arial"/>
          <w:iCs/>
          <w:sz w:val="22"/>
          <w:szCs w:val="22"/>
        </w:rPr>
        <w:t> »</w:t>
      </w:r>
      <w:r w:rsidRPr="00FD0261">
        <w:rPr>
          <w:rFonts w:ascii="Arial" w:eastAsia="Arial" w:hAnsi="Arial" w:cs="Arial"/>
          <w:iCs/>
          <w:sz w:val="22"/>
          <w:szCs w:val="22"/>
        </w:rPr>
        <w:t xml:space="preserve"> sur le marché de la musique en </w:t>
      </w:r>
      <w:r w:rsidR="00BA7C33" w:rsidRPr="00BA7C33">
        <w:rPr>
          <w:rFonts w:ascii="Arial" w:eastAsia="Arial" w:hAnsi="Arial" w:cs="Arial"/>
          <w:iCs/>
          <w:sz w:val="22"/>
          <w:szCs w:val="22"/>
        </w:rPr>
        <w:t>continu</w:t>
      </w:r>
      <w:r w:rsidRPr="00FD0261">
        <w:rPr>
          <w:rFonts w:ascii="Arial" w:eastAsia="Arial" w:hAnsi="Arial" w:cs="Arial"/>
          <w:iCs/>
          <w:sz w:val="22"/>
          <w:szCs w:val="22"/>
        </w:rPr>
        <w:t xml:space="preserve">. Dans un </w:t>
      </w:r>
      <w:hyperlink r:id="rId12" w:history="1">
        <w:r w:rsidRPr="008A2F8B">
          <w:rPr>
            <w:rStyle w:val="Hyperlink"/>
            <w:rFonts w:ascii="Arial" w:eastAsia="Arial" w:hAnsi="Arial" w:cs="Arial"/>
            <w:iCs/>
            <w:sz w:val="22"/>
            <w:szCs w:val="22"/>
          </w:rPr>
          <w:t>communiqué de presse</w:t>
        </w:r>
      </w:hyperlink>
      <w:r w:rsidRPr="00FD0261">
        <w:rPr>
          <w:rFonts w:ascii="Arial" w:eastAsia="Arial" w:hAnsi="Arial" w:cs="Arial"/>
          <w:iCs/>
          <w:sz w:val="22"/>
          <w:szCs w:val="22"/>
        </w:rPr>
        <w:t>, Apple a déclaré que, bien qu'elle respecte la Commission européenne, les faits ne soutiennent pas la décision et que, par conséquent, elle fera appel. En outre, Apple a explicitement mentionné que le principal défenseur de la décision de la Commission et</w:t>
      </w:r>
      <w:r w:rsidR="00BA7C33">
        <w:rPr>
          <w:rFonts w:ascii="Arial" w:eastAsia="Arial" w:hAnsi="Arial" w:cs="Arial"/>
          <w:iCs/>
          <w:sz w:val="22"/>
          <w:szCs w:val="22"/>
        </w:rPr>
        <w:t xml:space="preserve"> son</w:t>
      </w:r>
      <w:r w:rsidRPr="00FD0261">
        <w:rPr>
          <w:rFonts w:ascii="Arial" w:eastAsia="Arial" w:hAnsi="Arial" w:cs="Arial"/>
          <w:iCs/>
          <w:sz w:val="22"/>
          <w:szCs w:val="22"/>
        </w:rPr>
        <w:t xml:space="preserve"> </w:t>
      </w:r>
      <w:r w:rsidR="008A2F8B">
        <w:rPr>
          <w:rFonts w:ascii="Arial" w:eastAsia="Arial" w:hAnsi="Arial" w:cs="Arial"/>
          <w:iCs/>
          <w:sz w:val="22"/>
          <w:szCs w:val="22"/>
        </w:rPr>
        <w:t>« </w:t>
      </w:r>
      <w:r w:rsidRPr="00FD0261">
        <w:rPr>
          <w:rFonts w:ascii="Arial" w:eastAsia="Arial" w:hAnsi="Arial" w:cs="Arial"/>
          <w:iCs/>
          <w:sz w:val="22"/>
          <w:szCs w:val="22"/>
        </w:rPr>
        <w:t xml:space="preserve">plus grand bénéficiaire est Spotify, une société basée à Stockholm, en Suède. Spotify possède la plus grande application de streaming musical au monde et a rencontré la Commission européenne plus de 65 fois au cours de cette enquête. Aujourd'hui, Spotify détient 56 % du marché européen </w:t>
      </w:r>
      <w:r w:rsidRPr="00FD0261">
        <w:rPr>
          <w:rFonts w:ascii="Arial" w:eastAsia="Arial" w:hAnsi="Arial" w:cs="Arial"/>
          <w:iCs/>
          <w:sz w:val="22"/>
          <w:szCs w:val="22"/>
        </w:rPr>
        <w:lastRenderedPageBreak/>
        <w:t>du streaming musical, soit plus du double de son concurrent le plus proche, et ne paie rien à Apple pour les services qui ont contribué à faire d'elle l'une des marques les plus connues au monde</w:t>
      </w:r>
      <w:r w:rsidR="008A2F8B">
        <w:rPr>
          <w:rFonts w:ascii="Arial" w:eastAsia="Arial" w:hAnsi="Arial" w:cs="Arial"/>
          <w:iCs/>
          <w:sz w:val="22"/>
          <w:szCs w:val="22"/>
        </w:rPr>
        <w:t> »</w:t>
      </w:r>
      <w:r w:rsidRPr="00FD0261">
        <w:rPr>
          <w:rFonts w:ascii="Arial" w:eastAsia="Arial" w:hAnsi="Arial" w:cs="Arial"/>
          <w:iCs/>
          <w:sz w:val="22"/>
          <w:szCs w:val="22"/>
        </w:rPr>
        <w:t xml:space="preserve">. </w:t>
      </w:r>
    </w:p>
    <w:p w14:paraId="3BA793A9" w14:textId="68D2C39F" w:rsidR="00FD0261" w:rsidRP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Dans sa </w:t>
      </w:r>
      <w:hyperlink r:id="rId13" w:history="1">
        <w:r w:rsidRPr="008A2F8B">
          <w:rPr>
            <w:rStyle w:val="Hyperlink"/>
            <w:rFonts w:ascii="Arial" w:eastAsia="Arial" w:hAnsi="Arial" w:cs="Arial"/>
            <w:iCs/>
            <w:sz w:val="22"/>
            <w:szCs w:val="22"/>
          </w:rPr>
          <w:t>déclaration</w:t>
        </w:r>
      </w:hyperlink>
      <w:r w:rsidRPr="00FD0261">
        <w:rPr>
          <w:rFonts w:ascii="Arial" w:eastAsia="Arial" w:hAnsi="Arial" w:cs="Arial"/>
          <w:iCs/>
          <w:sz w:val="22"/>
          <w:szCs w:val="22"/>
        </w:rPr>
        <w:t xml:space="preserve">, </w:t>
      </w:r>
      <w:hyperlink r:id="rId14" w:history="1">
        <w:r w:rsidR="008A2F8B" w:rsidRPr="00193BE3">
          <w:rPr>
            <w:rStyle w:val="Hyperlink"/>
            <w:rFonts w:ascii="Arial" w:hAnsi="Arial" w:cs="Arial"/>
            <w:iCs/>
            <w:sz w:val="22"/>
            <w:szCs w:val="22"/>
            <w:lang w:val="fr-FR"/>
          </w:rPr>
          <w:t>Spotify</w:t>
        </w:r>
      </w:hyperlink>
      <w:r w:rsidRPr="00FD0261">
        <w:rPr>
          <w:rFonts w:ascii="Arial" w:eastAsia="Arial" w:hAnsi="Arial" w:cs="Arial"/>
          <w:iCs/>
          <w:sz w:val="22"/>
          <w:szCs w:val="22"/>
        </w:rPr>
        <w:t xml:space="preserve"> a souligné que la décision de la Commission </w:t>
      </w:r>
      <w:r w:rsidR="00E8412A">
        <w:rPr>
          <w:rFonts w:ascii="Arial" w:eastAsia="Arial" w:hAnsi="Arial" w:cs="Arial"/>
          <w:iCs/>
          <w:sz w:val="22"/>
          <w:szCs w:val="22"/>
        </w:rPr>
        <w:t>« </w:t>
      </w:r>
      <w:r w:rsidRPr="00FD0261">
        <w:rPr>
          <w:rFonts w:ascii="Arial" w:eastAsia="Arial" w:hAnsi="Arial" w:cs="Arial"/>
          <w:iCs/>
          <w:sz w:val="22"/>
          <w:szCs w:val="22"/>
        </w:rPr>
        <w:t>marque un moment important dans la lutte pour un Internet plus ouvert pour les consommateurs. La Commission européenne a clairement conclu que le comportement d'Ap</w:t>
      </w:r>
      <w:r w:rsidR="00193BE3">
        <w:rPr>
          <w:rFonts w:ascii="Arial" w:eastAsia="Arial" w:hAnsi="Arial" w:cs="Arial"/>
          <w:iCs/>
          <w:sz w:val="22"/>
          <w:szCs w:val="22"/>
        </w:rPr>
        <w:t>ple</w:t>
      </w:r>
      <w:r w:rsidRPr="00FD0261">
        <w:rPr>
          <w:rFonts w:ascii="Arial" w:eastAsia="Arial" w:hAnsi="Arial" w:cs="Arial"/>
          <w:iCs/>
          <w:sz w:val="22"/>
          <w:szCs w:val="22"/>
        </w:rPr>
        <w:t>, qui limite les communications avec les consommateurs, est illégal</w:t>
      </w:r>
      <w:r w:rsidR="00E8412A">
        <w:rPr>
          <w:rFonts w:ascii="Arial" w:eastAsia="Arial" w:hAnsi="Arial" w:cs="Arial"/>
          <w:iCs/>
          <w:sz w:val="22"/>
          <w:szCs w:val="22"/>
        </w:rPr>
        <w:t> »</w:t>
      </w:r>
      <w:r w:rsidRPr="00FD0261">
        <w:rPr>
          <w:rFonts w:ascii="Arial" w:eastAsia="Arial" w:hAnsi="Arial" w:cs="Arial"/>
          <w:iCs/>
          <w:sz w:val="22"/>
          <w:szCs w:val="22"/>
        </w:rPr>
        <w:t xml:space="preserve">. Comme l'a souligné </w:t>
      </w:r>
      <w:hyperlink r:id="rId15" w:history="1">
        <w:r w:rsidR="008A2F8B" w:rsidRPr="00193BE3">
          <w:rPr>
            <w:rStyle w:val="Hyperlink"/>
            <w:rFonts w:ascii="Arial" w:hAnsi="Arial" w:cs="Arial"/>
            <w:iCs/>
            <w:sz w:val="22"/>
            <w:szCs w:val="22"/>
            <w:lang w:val="fr-FR"/>
          </w:rPr>
          <w:t>Reuters</w:t>
        </w:r>
      </w:hyperlink>
      <w:r w:rsidRPr="00FD0261">
        <w:rPr>
          <w:rFonts w:ascii="Arial" w:eastAsia="Arial" w:hAnsi="Arial" w:cs="Arial"/>
          <w:iCs/>
          <w:sz w:val="22"/>
          <w:szCs w:val="22"/>
        </w:rPr>
        <w:t xml:space="preserve">, il faudra probablement attendre plusieurs années avant qu'un jugement soit rendu par le Tribunal de première instance basé à Luxembourg. D'ici là, Apple devra payer l'amende et se conformer à la décision de l'UE. </w:t>
      </w:r>
    </w:p>
    <w:p w14:paraId="26D888FF" w14:textId="77777777" w:rsidR="00FD0261" w:rsidRPr="008A2F8B" w:rsidRDefault="00FD0261" w:rsidP="00FD0261">
      <w:pPr>
        <w:spacing w:before="288" w:after="288" w:line="276" w:lineRule="auto"/>
        <w:ind w:left="426" w:right="714"/>
        <w:jc w:val="both"/>
        <w:rPr>
          <w:rFonts w:ascii="Arial" w:eastAsia="Arial" w:hAnsi="Arial" w:cs="Arial"/>
          <w:i/>
          <w:iCs/>
          <w:sz w:val="22"/>
          <w:szCs w:val="22"/>
        </w:rPr>
      </w:pPr>
      <w:r w:rsidRPr="008A2F8B">
        <w:rPr>
          <w:rFonts w:ascii="Arial" w:eastAsia="Arial" w:hAnsi="Arial" w:cs="Arial"/>
          <w:i/>
          <w:iCs/>
          <w:sz w:val="22"/>
          <w:szCs w:val="22"/>
        </w:rPr>
        <w:t>Deux nouveaux rapports de l'Observatoire européen de l'audiovisuel</w:t>
      </w:r>
    </w:p>
    <w:p w14:paraId="5C0C66DE" w14:textId="4393DB54" w:rsid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Deux nouveaux rapports </w:t>
      </w:r>
      <w:r w:rsidR="00B8306B">
        <w:rPr>
          <w:rFonts w:ascii="Arial" w:eastAsia="Arial" w:hAnsi="Arial" w:cs="Arial"/>
          <w:iCs/>
          <w:sz w:val="22"/>
          <w:szCs w:val="22"/>
        </w:rPr>
        <w:t>« </w:t>
      </w:r>
      <w:hyperlink r:id="rId16" w:history="1">
        <w:r w:rsidR="008A2F8B" w:rsidRPr="00193BE3">
          <w:rPr>
            <w:rStyle w:val="Hyperlink"/>
            <w:rFonts w:ascii="Arial" w:eastAsia="Arial" w:hAnsi="Arial" w:cs="Arial"/>
            <w:sz w:val="22"/>
            <w:szCs w:val="22"/>
            <w:lang w:val="fr-FR"/>
          </w:rPr>
          <w:t>SVOD Usage in the European Union</w:t>
        </w:r>
      </w:hyperlink>
      <w:r w:rsidR="00B8306B">
        <w:rPr>
          <w:rFonts w:ascii="Arial" w:eastAsia="Arial" w:hAnsi="Arial" w:cs="Arial"/>
          <w:iCs/>
          <w:sz w:val="22"/>
          <w:szCs w:val="22"/>
        </w:rPr>
        <w:t> »</w:t>
      </w:r>
      <w:r w:rsidRPr="00FD0261">
        <w:rPr>
          <w:rFonts w:ascii="Arial" w:eastAsia="Arial" w:hAnsi="Arial" w:cs="Arial"/>
          <w:iCs/>
          <w:sz w:val="22"/>
          <w:szCs w:val="22"/>
        </w:rPr>
        <w:t xml:space="preserve"> et </w:t>
      </w:r>
      <w:r w:rsidR="00B8306B">
        <w:rPr>
          <w:rFonts w:ascii="Arial" w:eastAsia="Arial" w:hAnsi="Arial" w:cs="Arial"/>
          <w:iCs/>
          <w:sz w:val="22"/>
          <w:szCs w:val="22"/>
        </w:rPr>
        <w:t>« </w:t>
      </w:r>
      <w:hyperlink r:id="rId17" w:history="1">
        <w:r w:rsidR="008A2F8B" w:rsidRPr="00193BE3">
          <w:rPr>
            <w:rStyle w:val="Hyperlink"/>
            <w:rFonts w:ascii="Arial" w:eastAsia="Arial" w:hAnsi="Arial" w:cs="Arial"/>
            <w:sz w:val="22"/>
            <w:szCs w:val="22"/>
            <w:lang w:val="fr-FR"/>
          </w:rPr>
          <w:t>Film and TV Content in TVOD, SVOD and FOD catalogues – 2023 Edition</w:t>
        </w:r>
      </w:hyperlink>
      <w:r w:rsidR="00B8306B">
        <w:rPr>
          <w:rFonts w:ascii="Arial" w:eastAsia="Arial" w:hAnsi="Arial" w:cs="Arial"/>
          <w:iCs/>
          <w:sz w:val="22"/>
          <w:szCs w:val="22"/>
        </w:rPr>
        <w:t> »</w:t>
      </w:r>
      <w:r w:rsidRPr="00FD0261">
        <w:rPr>
          <w:rFonts w:ascii="Arial" w:eastAsia="Arial" w:hAnsi="Arial" w:cs="Arial"/>
          <w:iCs/>
          <w:sz w:val="22"/>
          <w:szCs w:val="22"/>
        </w:rPr>
        <w:t xml:space="preserve"> viennent d'être publiés par l'</w:t>
      </w:r>
      <w:hyperlink r:id="rId18" w:history="1">
        <w:r w:rsidRPr="008A2F8B">
          <w:rPr>
            <w:rStyle w:val="Hyperlink"/>
            <w:rFonts w:ascii="Arial" w:eastAsia="Arial" w:hAnsi="Arial" w:cs="Arial"/>
            <w:iCs/>
            <w:sz w:val="22"/>
            <w:szCs w:val="22"/>
          </w:rPr>
          <w:t>Observatoire européen de l'audiovisuel</w:t>
        </w:r>
      </w:hyperlink>
      <w:r w:rsidRPr="00FD0261">
        <w:rPr>
          <w:rFonts w:ascii="Arial" w:eastAsia="Arial" w:hAnsi="Arial" w:cs="Arial"/>
          <w:iCs/>
          <w:sz w:val="22"/>
          <w:szCs w:val="22"/>
        </w:rPr>
        <w:t xml:space="preserve">. Les rapports fournissent une analyse de la consommation de films et de saisons télévisées en </w:t>
      </w:r>
      <w:r w:rsidR="00BA7C33">
        <w:rPr>
          <w:rFonts w:ascii="Arial" w:eastAsia="Arial" w:hAnsi="Arial" w:cs="Arial"/>
          <w:iCs/>
          <w:sz w:val="22"/>
          <w:szCs w:val="22"/>
        </w:rPr>
        <w:t xml:space="preserve">vidéo à la demande </w:t>
      </w:r>
      <w:r w:rsidR="00193BE3">
        <w:rPr>
          <w:rFonts w:ascii="Arial" w:eastAsia="Arial" w:hAnsi="Arial" w:cs="Arial"/>
          <w:iCs/>
          <w:sz w:val="22"/>
          <w:szCs w:val="22"/>
        </w:rPr>
        <w:t>(</w:t>
      </w:r>
      <w:r w:rsidRPr="00FD0261">
        <w:rPr>
          <w:rFonts w:ascii="Arial" w:eastAsia="Arial" w:hAnsi="Arial" w:cs="Arial"/>
          <w:iCs/>
          <w:sz w:val="22"/>
          <w:szCs w:val="22"/>
        </w:rPr>
        <w:t>VOD</w:t>
      </w:r>
      <w:r w:rsidR="00193BE3">
        <w:rPr>
          <w:rFonts w:ascii="Arial" w:eastAsia="Arial" w:hAnsi="Arial" w:cs="Arial"/>
          <w:iCs/>
          <w:sz w:val="22"/>
          <w:szCs w:val="22"/>
        </w:rPr>
        <w:t>)</w:t>
      </w:r>
      <w:r w:rsidRPr="00FD0261">
        <w:rPr>
          <w:rFonts w:ascii="Arial" w:eastAsia="Arial" w:hAnsi="Arial" w:cs="Arial"/>
          <w:iCs/>
          <w:sz w:val="22"/>
          <w:szCs w:val="22"/>
        </w:rPr>
        <w:t xml:space="preserve"> par abonnement dans </w:t>
      </w:r>
      <w:r w:rsidR="00BA7C33">
        <w:rPr>
          <w:rFonts w:ascii="Arial" w:eastAsia="Arial" w:hAnsi="Arial" w:cs="Arial"/>
          <w:iCs/>
          <w:sz w:val="22"/>
          <w:szCs w:val="22"/>
        </w:rPr>
        <w:t xml:space="preserve">neuf </w:t>
      </w:r>
      <w:r w:rsidRPr="00FD0261">
        <w:rPr>
          <w:rFonts w:ascii="Arial" w:eastAsia="Arial" w:hAnsi="Arial" w:cs="Arial"/>
          <w:iCs/>
          <w:sz w:val="22"/>
          <w:szCs w:val="22"/>
        </w:rPr>
        <w:t xml:space="preserve">États membres (Allemagne, Danemark, Espagne, Finlande, France, Italie, Pays-Bas, Pologne et Suède) de l'UE de septembre 2022 à septembre 2023 et une analyse de l'offre de films et de saisons télévisées dans les catalogues de VOD de 25 États membres de l'UE en septembre 2023. </w:t>
      </w:r>
    </w:p>
    <w:p w14:paraId="7EE410CE" w14:textId="72D5CD6B" w:rsidR="00FD0261" w:rsidRPr="00FD0261" w:rsidRDefault="00FD0261" w:rsidP="00FD0261">
      <w:pPr>
        <w:spacing w:before="288" w:after="288" w:line="276" w:lineRule="auto"/>
        <w:ind w:left="426" w:right="714"/>
        <w:jc w:val="both"/>
        <w:rPr>
          <w:rFonts w:ascii="Arial" w:eastAsia="Arial" w:hAnsi="Arial" w:cs="Arial"/>
          <w:iCs/>
          <w:sz w:val="22"/>
          <w:szCs w:val="22"/>
        </w:rPr>
      </w:pPr>
      <w:r>
        <w:rPr>
          <w:rFonts w:ascii="Arial" w:eastAsia="Arial" w:hAnsi="Arial" w:cs="Arial"/>
          <w:iCs/>
          <w:sz w:val="22"/>
          <w:szCs w:val="22"/>
        </w:rPr>
        <w:t>L</w:t>
      </w:r>
      <w:r w:rsidRPr="00FD0261">
        <w:rPr>
          <w:rFonts w:ascii="Arial" w:eastAsia="Arial" w:hAnsi="Arial" w:cs="Arial"/>
          <w:iCs/>
          <w:sz w:val="22"/>
          <w:szCs w:val="22"/>
        </w:rPr>
        <w:t xml:space="preserve">e premier rapport indique que </w:t>
      </w:r>
      <w:r w:rsidR="00B8306B">
        <w:rPr>
          <w:rFonts w:ascii="Arial" w:eastAsia="Arial" w:hAnsi="Arial" w:cs="Arial"/>
          <w:iCs/>
          <w:sz w:val="22"/>
          <w:szCs w:val="22"/>
        </w:rPr>
        <w:t>« </w:t>
      </w:r>
      <w:r w:rsidRPr="00FD0261">
        <w:rPr>
          <w:rFonts w:ascii="Arial" w:eastAsia="Arial" w:hAnsi="Arial" w:cs="Arial"/>
          <w:iCs/>
          <w:sz w:val="22"/>
          <w:szCs w:val="22"/>
        </w:rPr>
        <w:t xml:space="preserve">la concentration est la principale caractéristique de l'utilisation de la VOD" en Europe, 85 % du temps de visionnage </w:t>
      </w:r>
      <w:r w:rsidR="00BA7C33">
        <w:rPr>
          <w:rFonts w:ascii="Arial" w:eastAsia="Arial" w:hAnsi="Arial" w:cs="Arial"/>
          <w:iCs/>
          <w:sz w:val="22"/>
          <w:szCs w:val="22"/>
        </w:rPr>
        <w:t xml:space="preserve">relevant de </w:t>
      </w:r>
      <w:r w:rsidRPr="00FD0261">
        <w:rPr>
          <w:rFonts w:ascii="Arial" w:eastAsia="Arial" w:hAnsi="Arial" w:cs="Arial"/>
          <w:iCs/>
          <w:sz w:val="22"/>
          <w:szCs w:val="22"/>
        </w:rPr>
        <w:t xml:space="preserve">seulement trois services (Netflix, Prime Video et Disney Plus). En outre, </w:t>
      </w:r>
      <w:r w:rsidR="00297C18">
        <w:rPr>
          <w:rFonts w:ascii="Arial" w:eastAsia="Arial" w:hAnsi="Arial" w:cs="Arial"/>
          <w:iCs/>
          <w:sz w:val="22"/>
          <w:szCs w:val="22"/>
        </w:rPr>
        <w:t>« </w:t>
      </w:r>
      <w:r w:rsidRPr="00FD0261">
        <w:rPr>
          <w:rFonts w:ascii="Arial" w:eastAsia="Arial" w:hAnsi="Arial" w:cs="Arial"/>
          <w:iCs/>
          <w:sz w:val="22"/>
          <w:szCs w:val="22"/>
        </w:rPr>
        <w:t xml:space="preserve">la durée de visionnage </w:t>
      </w:r>
      <w:r w:rsidR="002E78AB">
        <w:rPr>
          <w:rFonts w:ascii="Arial" w:eastAsia="Arial" w:hAnsi="Arial" w:cs="Arial"/>
          <w:iCs/>
          <w:sz w:val="22"/>
          <w:szCs w:val="22"/>
        </w:rPr>
        <w:t xml:space="preserve">renvoie </w:t>
      </w:r>
      <w:r w:rsidRPr="00FD0261">
        <w:rPr>
          <w:rFonts w:ascii="Arial" w:eastAsia="Arial" w:hAnsi="Arial" w:cs="Arial"/>
          <w:iCs/>
          <w:sz w:val="22"/>
          <w:szCs w:val="22"/>
        </w:rPr>
        <w:t xml:space="preserve">principalement </w:t>
      </w:r>
      <w:r w:rsidR="002E78AB">
        <w:rPr>
          <w:rFonts w:ascii="Arial" w:eastAsia="Arial" w:hAnsi="Arial" w:cs="Arial"/>
          <w:iCs/>
          <w:sz w:val="22"/>
          <w:szCs w:val="22"/>
        </w:rPr>
        <w:t xml:space="preserve">à </w:t>
      </w:r>
      <w:r w:rsidRPr="00FD0261">
        <w:rPr>
          <w:rFonts w:ascii="Arial" w:eastAsia="Arial" w:hAnsi="Arial" w:cs="Arial"/>
          <w:iCs/>
          <w:sz w:val="22"/>
          <w:szCs w:val="22"/>
        </w:rPr>
        <w:t>des films récents (produits en 2022-2023) : ils représentent 25 % de la durée de visionnage mais seulement 1 % des catalogues</w:t>
      </w:r>
      <w:r w:rsidR="00297C18">
        <w:rPr>
          <w:rFonts w:ascii="Arial" w:eastAsia="Arial" w:hAnsi="Arial" w:cs="Arial"/>
          <w:iCs/>
          <w:sz w:val="22"/>
          <w:szCs w:val="22"/>
        </w:rPr>
        <w:t> »</w:t>
      </w:r>
      <w:r w:rsidRPr="00FD0261">
        <w:rPr>
          <w:rFonts w:ascii="Arial" w:eastAsia="Arial" w:hAnsi="Arial" w:cs="Arial"/>
          <w:iCs/>
          <w:sz w:val="22"/>
          <w:szCs w:val="22"/>
        </w:rPr>
        <w:t>. Il est intéressant de noter que les œuvres américaines sont systématiquement surconsommées (61,2 % du temps de visionnage total, films et saisons télévisées compris), tandis que les œuvres européennes représentent 30,3 % du temps de visionnage de la VOD</w:t>
      </w:r>
      <w:r w:rsidR="00193BE3">
        <w:rPr>
          <w:rFonts w:ascii="Arial" w:eastAsia="Arial" w:hAnsi="Arial" w:cs="Arial"/>
          <w:iCs/>
          <w:sz w:val="22"/>
          <w:szCs w:val="22"/>
        </w:rPr>
        <w:t xml:space="preserve"> </w:t>
      </w:r>
      <w:r w:rsidR="002E78AB">
        <w:rPr>
          <w:rFonts w:ascii="Arial" w:eastAsia="Arial" w:hAnsi="Arial" w:cs="Arial"/>
          <w:iCs/>
          <w:sz w:val="22"/>
          <w:szCs w:val="22"/>
        </w:rPr>
        <w:t xml:space="preserve">par souscription </w:t>
      </w:r>
      <w:r w:rsidR="00193BE3">
        <w:rPr>
          <w:rFonts w:ascii="Arial" w:eastAsia="Arial" w:hAnsi="Arial" w:cs="Arial"/>
          <w:iCs/>
          <w:sz w:val="22"/>
          <w:szCs w:val="22"/>
        </w:rPr>
        <w:t>(SVOD)</w:t>
      </w:r>
      <w:r w:rsidRPr="00FD0261">
        <w:rPr>
          <w:rFonts w:ascii="Arial" w:eastAsia="Arial" w:hAnsi="Arial" w:cs="Arial"/>
          <w:iCs/>
          <w:sz w:val="22"/>
          <w:szCs w:val="22"/>
        </w:rPr>
        <w:t>, dont 21 % pour les œuvres de l'UE, 8,6 % pour le Royaume-Uni et 1</w:t>
      </w:r>
      <w:r w:rsidR="00193BE3">
        <w:rPr>
          <w:rFonts w:ascii="Arial" w:eastAsia="Arial" w:hAnsi="Arial" w:cs="Arial"/>
          <w:iCs/>
          <w:sz w:val="22"/>
          <w:szCs w:val="22"/>
        </w:rPr>
        <w:t xml:space="preserve"> </w:t>
      </w:r>
      <w:r w:rsidRPr="00FD0261">
        <w:rPr>
          <w:rFonts w:ascii="Arial" w:eastAsia="Arial" w:hAnsi="Arial" w:cs="Arial"/>
          <w:iCs/>
          <w:sz w:val="22"/>
          <w:szCs w:val="22"/>
        </w:rPr>
        <w:t xml:space="preserve">% pour les autres œuvres européennes. En outre, selon le rapport, parmi les œuvres européennes, les œuvres nationales sont surconsommées (12,2 % du temps de visionnage), tandis que les œuvres non nationales de l'UE sont sous-consommées dans tous les pays (8,4 % du temps de visionnage). Enfin, le rapport mentionne le poids modeste de la consommation d'œuvres provenant d'autres régions du monde - seulement 8,3 %, bien en deçà de leur part dans les catalogues. </w:t>
      </w:r>
    </w:p>
    <w:p w14:paraId="1FC2D85B" w14:textId="3F30656B" w:rsidR="00FD0261" w:rsidRP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Le second rapport souligne que les œuvres européennes (films et contenus) représentent 31</w:t>
      </w:r>
      <w:r w:rsidR="00193BE3">
        <w:rPr>
          <w:rFonts w:ascii="Arial" w:eastAsia="Arial" w:hAnsi="Arial" w:cs="Arial"/>
          <w:iCs/>
          <w:sz w:val="22"/>
          <w:szCs w:val="22"/>
        </w:rPr>
        <w:t xml:space="preserve"> </w:t>
      </w:r>
      <w:r w:rsidRPr="00FD0261">
        <w:rPr>
          <w:rFonts w:ascii="Arial" w:eastAsia="Arial" w:hAnsi="Arial" w:cs="Arial"/>
          <w:iCs/>
          <w:sz w:val="22"/>
          <w:szCs w:val="22"/>
        </w:rPr>
        <w:t xml:space="preserve">% de l'ensemble des œuvres des catalogues de VOD dans les 25 </w:t>
      </w:r>
      <w:r w:rsidR="00193BE3" w:rsidRPr="00FD0261">
        <w:rPr>
          <w:rFonts w:ascii="Arial" w:eastAsia="Arial" w:hAnsi="Arial" w:cs="Arial"/>
          <w:iCs/>
          <w:sz w:val="22"/>
          <w:szCs w:val="22"/>
        </w:rPr>
        <w:lastRenderedPageBreak/>
        <w:t>États</w:t>
      </w:r>
      <w:r w:rsidRPr="00FD0261">
        <w:rPr>
          <w:rFonts w:ascii="Arial" w:eastAsia="Arial" w:hAnsi="Arial" w:cs="Arial"/>
          <w:iCs/>
          <w:sz w:val="22"/>
          <w:szCs w:val="22"/>
        </w:rPr>
        <w:t xml:space="preserve"> membres de l'U</w:t>
      </w:r>
      <w:r w:rsidR="002E78AB">
        <w:rPr>
          <w:rFonts w:ascii="Arial" w:eastAsia="Arial" w:hAnsi="Arial" w:cs="Arial"/>
          <w:iCs/>
          <w:sz w:val="22"/>
          <w:szCs w:val="22"/>
        </w:rPr>
        <w:t>E</w:t>
      </w:r>
      <w:r w:rsidRPr="00FD0261">
        <w:rPr>
          <w:rFonts w:ascii="Arial" w:eastAsia="Arial" w:hAnsi="Arial" w:cs="Arial"/>
          <w:iCs/>
          <w:sz w:val="22"/>
          <w:szCs w:val="22"/>
        </w:rPr>
        <w:t>, les œuvres de l'UE27 représentant 21</w:t>
      </w:r>
      <w:r w:rsidR="00B8306B">
        <w:rPr>
          <w:rFonts w:ascii="Arial" w:eastAsia="Arial" w:hAnsi="Arial" w:cs="Arial"/>
          <w:iCs/>
          <w:sz w:val="22"/>
          <w:szCs w:val="22"/>
        </w:rPr>
        <w:t xml:space="preserve"> </w:t>
      </w:r>
      <w:r w:rsidRPr="00FD0261">
        <w:rPr>
          <w:rFonts w:ascii="Arial" w:eastAsia="Arial" w:hAnsi="Arial" w:cs="Arial"/>
          <w:iCs/>
          <w:sz w:val="22"/>
          <w:szCs w:val="22"/>
        </w:rPr>
        <w:t>% et les autres œuvres européennes 10</w:t>
      </w:r>
      <w:r w:rsidR="00B8306B">
        <w:rPr>
          <w:rFonts w:ascii="Arial" w:eastAsia="Arial" w:hAnsi="Arial" w:cs="Arial"/>
          <w:iCs/>
          <w:sz w:val="22"/>
          <w:szCs w:val="22"/>
        </w:rPr>
        <w:t xml:space="preserve"> </w:t>
      </w:r>
      <w:r w:rsidRPr="00FD0261">
        <w:rPr>
          <w:rFonts w:ascii="Arial" w:eastAsia="Arial" w:hAnsi="Arial" w:cs="Arial"/>
          <w:iCs/>
          <w:sz w:val="22"/>
          <w:szCs w:val="22"/>
        </w:rPr>
        <w:t>%.</w:t>
      </w:r>
    </w:p>
    <w:p w14:paraId="388CDE0C" w14:textId="77777777" w:rsidR="00FD0261" w:rsidRPr="00B8306B" w:rsidRDefault="00FD0261" w:rsidP="00FD0261">
      <w:pPr>
        <w:spacing w:before="288" w:after="288" w:line="276" w:lineRule="auto"/>
        <w:ind w:left="426" w:right="714"/>
        <w:jc w:val="both"/>
        <w:rPr>
          <w:rFonts w:ascii="Arial" w:eastAsia="Arial" w:hAnsi="Arial" w:cs="Arial"/>
          <w:i/>
          <w:iCs/>
          <w:sz w:val="22"/>
          <w:szCs w:val="22"/>
        </w:rPr>
      </w:pPr>
      <w:r w:rsidRPr="00B8306B">
        <w:rPr>
          <w:rFonts w:ascii="Arial" w:eastAsia="Arial" w:hAnsi="Arial" w:cs="Arial"/>
          <w:i/>
          <w:iCs/>
          <w:sz w:val="22"/>
          <w:szCs w:val="22"/>
        </w:rPr>
        <w:t>Déclarations sur les technologies numériques et la culture</w:t>
      </w:r>
    </w:p>
    <w:p w14:paraId="284773B8" w14:textId="17F06DFE" w:rsidR="00E8412A" w:rsidRDefault="00FD0261" w:rsidP="00E8412A">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L</w:t>
      </w:r>
      <w:r w:rsidR="00B8306B">
        <w:rPr>
          <w:rFonts w:ascii="Arial" w:eastAsia="Arial" w:hAnsi="Arial" w:cs="Arial"/>
          <w:iCs/>
          <w:sz w:val="22"/>
          <w:szCs w:val="22"/>
        </w:rPr>
        <w:t xml:space="preserve">a </w:t>
      </w:r>
      <w:hyperlink r:id="rId19" w:history="1">
        <w:r w:rsidR="00B8306B" w:rsidRPr="00B8306B">
          <w:rPr>
            <w:rStyle w:val="Hyperlink"/>
            <w:rFonts w:ascii="Arial" w:eastAsia="Arial" w:hAnsi="Arial" w:cs="Arial"/>
            <w:iCs/>
            <w:sz w:val="22"/>
            <w:szCs w:val="22"/>
          </w:rPr>
          <w:t>loi</w:t>
        </w:r>
        <w:r w:rsidRPr="00B8306B">
          <w:rPr>
            <w:rStyle w:val="Hyperlink"/>
            <w:rFonts w:ascii="Arial" w:eastAsia="Arial" w:hAnsi="Arial" w:cs="Arial"/>
            <w:iCs/>
            <w:sz w:val="22"/>
            <w:szCs w:val="22"/>
          </w:rPr>
          <w:t xml:space="preserve"> de l'UE sur l'IA</w:t>
        </w:r>
      </w:hyperlink>
      <w:r w:rsidRPr="00FD0261">
        <w:rPr>
          <w:rFonts w:ascii="Arial" w:eastAsia="Arial" w:hAnsi="Arial" w:cs="Arial"/>
          <w:iCs/>
          <w:sz w:val="22"/>
          <w:szCs w:val="22"/>
        </w:rPr>
        <w:t xml:space="preserve"> est le premier texte législatif au monde à réglementer le développement et l'utilisation de l'IA et à fixer des normes pour une gouvernance responsable et durable. Dans une </w:t>
      </w:r>
      <w:hyperlink r:id="rId20" w:history="1">
        <w:r w:rsidRPr="00B8306B">
          <w:rPr>
            <w:rStyle w:val="Hyperlink"/>
            <w:rFonts w:ascii="Arial" w:eastAsia="Arial" w:hAnsi="Arial" w:cs="Arial"/>
            <w:iCs/>
            <w:sz w:val="22"/>
            <w:szCs w:val="22"/>
          </w:rPr>
          <w:t>déclaration</w:t>
        </w:r>
      </w:hyperlink>
      <w:r w:rsidRPr="00FD0261">
        <w:rPr>
          <w:rFonts w:ascii="Arial" w:eastAsia="Arial" w:hAnsi="Arial" w:cs="Arial"/>
          <w:iCs/>
          <w:sz w:val="22"/>
          <w:szCs w:val="22"/>
        </w:rPr>
        <w:t xml:space="preserve"> commune publiée le 13 mars, un grand nombre d'organisations actives dans les industries culturelles et créatives se sont félicitées de l'adoption de cet</w:t>
      </w:r>
      <w:r w:rsidR="002E78AB">
        <w:rPr>
          <w:rFonts w:ascii="Arial" w:eastAsia="Arial" w:hAnsi="Arial" w:cs="Arial"/>
          <w:iCs/>
          <w:sz w:val="22"/>
          <w:szCs w:val="22"/>
        </w:rPr>
        <w:t>te loi</w:t>
      </w:r>
      <w:r w:rsidRPr="00FD0261">
        <w:rPr>
          <w:rFonts w:ascii="Arial" w:eastAsia="Arial" w:hAnsi="Arial" w:cs="Arial"/>
          <w:iCs/>
          <w:sz w:val="22"/>
          <w:szCs w:val="22"/>
        </w:rPr>
        <w:t>. Les signataires ont fait valoir qu</w:t>
      </w:r>
      <w:r w:rsidR="002E78AB">
        <w:rPr>
          <w:rFonts w:ascii="Arial" w:eastAsia="Arial" w:hAnsi="Arial" w:cs="Arial"/>
          <w:iCs/>
          <w:sz w:val="22"/>
          <w:szCs w:val="22"/>
        </w:rPr>
        <w:t xml:space="preserve">’elle </w:t>
      </w:r>
      <w:r w:rsidRPr="00FD0261">
        <w:rPr>
          <w:rFonts w:ascii="Arial" w:eastAsia="Arial" w:hAnsi="Arial" w:cs="Arial"/>
          <w:iCs/>
          <w:sz w:val="22"/>
          <w:szCs w:val="22"/>
        </w:rPr>
        <w:t xml:space="preserve">offre aux titulaires de droits le </w:t>
      </w:r>
      <w:r w:rsidR="00B8306B">
        <w:rPr>
          <w:rFonts w:ascii="Arial" w:eastAsia="Arial" w:hAnsi="Arial" w:cs="Arial"/>
          <w:iCs/>
          <w:sz w:val="22"/>
          <w:szCs w:val="22"/>
        </w:rPr>
        <w:t>« </w:t>
      </w:r>
      <w:r w:rsidRPr="00FD0261">
        <w:rPr>
          <w:rFonts w:ascii="Arial" w:eastAsia="Arial" w:hAnsi="Arial" w:cs="Arial"/>
          <w:iCs/>
          <w:sz w:val="22"/>
          <w:szCs w:val="22"/>
        </w:rPr>
        <w:t>premier outil pour faire respecter leurs droits, y compris l'obligation pour les fournisseurs d'IA à usage général (GPAI) de mettre à disposition un r</w:t>
      </w:r>
      <w:r w:rsidR="00193BE3">
        <w:rPr>
          <w:rFonts w:ascii="Arial" w:eastAsia="Arial" w:hAnsi="Arial" w:cs="Arial"/>
          <w:iCs/>
          <w:sz w:val="22"/>
          <w:szCs w:val="22"/>
        </w:rPr>
        <w:t>apport</w:t>
      </w:r>
      <w:r w:rsidRPr="00FD0261">
        <w:rPr>
          <w:rFonts w:ascii="Arial" w:eastAsia="Arial" w:hAnsi="Arial" w:cs="Arial"/>
          <w:iCs/>
          <w:sz w:val="22"/>
          <w:szCs w:val="22"/>
        </w:rPr>
        <w:t xml:space="preserve"> suffisamment détaillé des œuvres utilisées pour former leurs modèles, de conserver une documentation technique détaillée et de démontrer qu'ils ont mis en place des politiques pour se conformer à la législation européenne sur le droit d'auteur, indépendamment de l'endroit où ils ont acquis les données ou formé et développé leurs modèles d'IA</w:t>
      </w:r>
      <w:r w:rsidR="00B8306B">
        <w:rPr>
          <w:rFonts w:ascii="Arial" w:eastAsia="Arial" w:hAnsi="Arial" w:cs="Arial"/>
          <w:iCs/>
          <w:sz w:val="22"/>
          <w:szCs w:val="22"/>
        </w:rPr>
        <w:t> »</w:t>
      </w:r>
      <w:r w:rsidRPr="00FD0261">
        <w:rPr>
          <w:rFonts w:ascii="Arial" w:eastAsia="Arial" w:hAnsi="Arial" w:cs="Arial"/>
          <w:iCs/>
          <w:sz w:val="22"/>
          <w:szCs w:val="22"/>
        </w:rPr>
        <w:t xml:space="preserve">. </w:t>
      </w:r>
    </w:p>
    <w:p w14:paraId="1789377A" w14:textId="3A180941" w:rsidR="00FD0261" w:rsidRPr="00FD0261" w:rsidRDefault="00FD0261" w:rsidP="00E8412A">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Les signataires ont indiqué que </w:t>
      </w:r>
      <w:r w:rsidR="00B8306B">
        <w:rPr>
          <w:rFonts w:ascii="Arial" w:eastAsia="Arial" w:hAnsi="Arial" w:cs="Arial"/>
          <w:iCs/>
          <w:sz w:val="22"/>
          <w:szCs w:val="22"/>
        </w:rPr>
        <w:t>« </w:t>
      </w:r>
      <w:r w:rsidRPr="00FD0261">
        <w:rPr>
          <w:rFonts w:ascii="Arial" w:eastAsia="Arial" w:hAnsi="Arial" w:cs="Arial"/>
          <w:iCs/>
          <w:sz w:val="22"/>
          <w:szCs w:val="22"/>
        </w:rPr>
        <w:t>si ces obligations constituent une première étape pour les titulaires de droits afin de faire respecter leurs droits</w:t>
      </w:r>
      <w:r w:rsidR="00193BE3">
        <w:rPr>
          <w:rFonts w:ascii="Arial" w:eastAsia="Arial" w:hAnsi="Arial" w:cs="Arial"/>
          <w:iCs/>
          <w:sz w:val="22"/>
          <w:szCs w:val="22"/>
        </w:rPr>
        <w:t> »</w:t>
      </w:r>
      <w:r w:rsidRPr="00FD0261">
        <w:rPr>
          <w:rFonts w:ascii="Arial" w:eastAsia="Arial" w:hAnsi="Arial" w:cs="Arial"/>
          <w:iCs/>
          <w:sz w:val="22"/>
          <w:szCs w:val="22"/>
        </w:rPr>
        <w:t xml:space="preserve">, </w:t>
      </w:r>
      <w:r w:rsidR="00193BE3">
        <w:rPr>
          <w:rFonts w:ascii="Arial" w:eastAsia="Arial" w:hAnsi="Arial" w:cs="Arial"/>
          <w:iCs/>
          <w:sz w:val="22"/>
          <w:szCs w:val="22"/>
        </w:rPr>
        <w:t>ils ont</w:t>
      </w:r>
      <w:r w:rsidRPr="00FD0261">
        <w:rPr>
          <w:rFonts w:ascii="Arial" w:eastAsia="Arial" w:hAnsi="Arial" w:cs="Arial"/>
          <w:iCs/>
          <w:sz w:val="22"/>
          <w:szCs w:val="22"/>
        </w:rPr>
        <w:t xml:space="preserve"> demand</w:t>
      </w:r>
      <w:r w:rsidR="00193BE3">
        <w:rPr>
          <w:rFonts w:ascii="Arial" w:eastAsia="Arial" w:hAnsi="Arial" w:cs="Arial"/>
          <w:iCs/>
          <w:sz w:val="22"/>
          <w:szCs w:val="22"/>
        </w:rPr>
        <w:t>é</w:t>
      </w:r>
      <w:r w:rsidRPr="00FD0261">
        <w:rPr>
          <w:rFonts w:ascii="Arial" w:eastAsia="Arial" w:hAnsi="Arial" w:cs="Arial"/>
          <w:iCs/>
          <w:sz w:val="22"/>
          <w:szCs w:val="22"/>
        </w:rPr>
        <w:t xml:space="preserve"> au Parlement européen de </w:t>
      </w:r>
      <w:r w:rsidR="00193BE3">
        <w:rPr>
          <w:rFonts w:ascii="Arial" w:eastAsia="Arial" w:hAnsi="Arial" w:cs="Arial"/>
          <w:iCs/>
          <w:sz w:val="22"/>
          <w:szCs w:val="22"/>
        </w:rPr>
        <w:t>« </w:t>
      </w:r>
      <w:r w:rsidRPr="00FD0261">
        <w:rPr>
          <w:rFonts w:ascii="Arial" w:eastAsia="Arial" w:hAnsi="Arial" w:cs="Arial"/>
          <w:iCs/>
          <w:sz w:val="22"/>
          <w:szCs w:val="22"/>
        </w:rPr>
        <w:t>continuer à soutenir le développement d'une IA responsable et durable en veillant à ce que ces règles importantes soient mises en pratique de manière significative et efficace, conformément aux objectifs du règlement.</w:t>
      </w:r>
      <w:r w:rsidR="00E8412A">
        <w:rPr>
          <w:rFonts w:ascii="Arial" w:eastAsia="Arial" w:hAnsi="Arial" w:cs="Arial"/>
          <w:iCs/>
          <w:sz w:val="22"/>
          <w:szCs w:val="22"/>
        </w:rPr>
        <w:t xml:space="preserve"> </w:t>
      </w:r>
      <w:r w:rsidRPr="00FD0261">
        <w:rPr>
          <w:rFonts w:ascii="Arial" w:eastAsia="Arial" w:hAnsi="Arial" w:cs="Arial"/>
          <w:iCs/>
          <w:sz w:val="22"/>
          <w:szCs w:val="22"/>
        </w:rPr>
        <w:t>Pour y parvenir, il est essentiel que</w:t>
      </w:r>
      <w:r w:rsidR="00E8412A">
        <w:rPr>
          <w:rFonts w:ascii="Arial" w:eastAsia="Arial" w:hAnsi="Arial" w:cs="Arial"/>
          <w:iCs/>
          <w:sz w:val="22"/>
          <w:szCs w:val="22"/>
        </w:rPr>
        <w:t> </w:t>
      </w:r>
      <w:r w:rsidRPr="00FD0261">
        <w:rPr>
          <w:rFonts w:ascii="Arial" w:eastAsia="Arial" w:hAnsi="Arial" w:cs="Arial"/>
          <w:iCs/>
          <w:sz w:val="22"/>
          <w:szCs w:val="22"/>
        </w:rPr>
        <w:t>le modèle de niveau d'information suffisant que les fournisseurs de modèles d'IA à usage général doivent mettre à disposition permette un exercice et une application efficaces du droit d'auteur et d'autres droits fondamentaux, et que les secteurs créatifs et les titulaires de droits soient formellement et directement impliqués dans sa rédaction</w:t>
      </w:r>
      <w:r w:rsidR="00193BE3">
        <w:rPr>
          <w:rFonts w:ascii="Arial" w:eastAsia="Arial" w:hAnsi="Arial" w:cs="Arial"/>
          <w:iCs/>
          <w:sz w:val="22"/>
          <w:szCs w:val="22"/>
        </w:rPr>
        <w:t> ».</w:t>
      </w:r>
      <w:r w:rsidRPr="00FD0261">
        <w:rPr>
          <w:rFonts w:ascii="Arial" w:eastAsia="Arial" w:hAnsi="Arial" w:cs="Arial"/>
          <w:iCs/>
          <w:sz w:val="22"/>
          <w:szCs w:val="22"/>
        </w:rPr>
        <w:t xml:space="preserve"> La déclaration a été soutenue par plus de 80 organisations, dont </w:t>
      </w:r>
      <w:hyperlink r:id="rId21" w:history="1">
        <w:r w:rsidR="00B8306B" w:rsidRPr="00193BE3">
          <w:rPr>
            <w:rStyle w:val="Hyperlink"/>
            <w:rFonts w:ascii="Arial" w:hAnsi="Arial" w:cs="Arial"/>
            <w:sz w:val="22"/>
            <w:szCs w:val="22"/>
            <w:lang w:val="fr-FR"/>
          </w:rPr>
          <w:t>International Federation of Phonographic Industry</w:t>
        </w:r>
      </w:hyperlink>
      <w:r w:rsidR="00B8306B" w:rsidRPr="00193BE3">
        <w:rPr>
          <w:rFonts w:ascii="Arial" w:hAnsi="Arial" w:cs="Arial"/>
          <w:sz w:val="22"/>
          <w:szCs w:val="22"/>
          <w:lang w:val="fr-FR"/>
        </w:rPr>
        <w:t>,</w:t>
      </w:r>
      <w:r w:rsidRPr="00FD0261">
        <w:rPr>
          <w:rFonts w:ascii="Arial" w:eastAsia="Arial" w:hAnsi="Arial" w:cs="Arial"/>
          <w:iCs/>
          <w:sz w:val="22"/>
          <w:szCs w:val="22"/>
        </w:rPr>
        <w:t xml:space="preserve"> EUROCINEMA et IMPALA, l'organisation européenne des entreprises musicales indépendantes.</w:t>
      </w:r>
    </w:p>
    <w:p w14:paraId="21D6FA62" w14:textId="17119F49" w:rsidR="00FD0261" w:rsidRP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Mi-janvier 2024, dans une </w:t>
      </w:r>
      <w:hyperlink r:id="rId22" w:history="1">
        <w:r w:rsidRPr="00B8306B">
          <w:rPr>
            <w:rStyle w:val="Hyperlink"/>
            <w:rFonts w:ascii="Arial" w:eastAsia="Arial" w:hAnsi="Arial" w:cs="Arial"/>
            <w:iCs/>
            <w:sz w:val="22"/>
            <w:szCs w:val="22"/>
          </w:rPr>
          <w:t>déclaration</w:t>
        </w:r>
      </w:hyperlink>
      <w:r w:rsidRPr="00FD0261">
        <w:rPr>
          <w:rFonts w:ascii="Arial" w:eastAsia="Arial" w:hAnsi="Arial" w:cs="Arial"/>
          <w:iCs/>
          <w:sz w:val="22"/>
          <w:szCs w:val="22"/>
        </w:rPr>
        <w:t xml:space="preserve"> collective internationale, </w:t>
      </w:r>
      <w:r w:rsidR="00BD2502">
        <w:rPr>
          <w:rFonts w:ascii="Arial" w:eastAsia="Arial" w:hAnsi="Arial" w:cs="Arial"/>
          <w:iCs/>
          <w:sz w:val="22"/>
          <w:szCs w:val="22"/>
        </w:rPr>
        <w:t>20</w:t>
      </w:r>
      <w:r w:rsidRPr="00FD0261">
        <w:rPr>
          <w:rFonts w:ascii="Arial" w:eastAsia="Arial" w:hAnsi="Arial" w:cs="Arial"/>
          <w:iCs/>
          <w:sz w:val="22"/>
          <w:szCs w:val="22"/>
        </w:rPr>
        <w:t xml:space="preserve"> organisations de production d'écrans ont exhorté les gouvernements à adopter une réglementation à l'égard des services de diffusion en continu. La déclaration énonce une série de principes qui devraient guider les gouvernements dans la réglementation des plateformes de streaming numérique. Parmi ces principes, les </w:t>
      </w:r>
      <w:hyperlink r:id="rId23" w:history="1">
        <w:r w:rsidRPr="00B8306B">
          <w:rPr>
            <w:rStyle w:val="Hyperlink"/>
            <w:rFonts w:ascii="Arial" w:eastAsia="Arial" w:hAnsi="Arial" w:cs="Arial"/>
            <w:iCs/>
            <w:sz w:val="22"/>
            <w:szCs w:val="22"/>
          </w:rPr>
          <w:t>organisations</w:t>
        </w:r>
      </w:hyperlink>
      <w:r w:rsidRPr="00FD0261">
        <w:rPr>
          <w:rFonts w:ascii="Arial" w:eastAsia="Arial" w:hAnsi="Arial" w:cs="Arial"/>
          <w:iCs/>
          <w:sz w:val="22"/>
          <w:szCs w:val="22"/>
        </w:rPr>
        <w:t xml:space="preserve"> mentionnent explicitement que </w:t>
      </w:r>
      <w:r w:rsidR="00E8412A">
        <w:rPr>
          <w:rFonts w:ascii="Arial" w:eastAsia="Arial" w:hAnsi="Arial" w:cs="Arial"/>
          <w:iCs/>
          <w:sz w:val="22"/>
          <w:szCs w:val="22"/>
        </w:rPr>
        <w:t>« </w:t>
      </w:r>
      <w:r w:rsidRPr="00FD0261">
        <w:rPr>
          <w:rFonts w:ascii="Arial" w:eastAsia="Arial" w:hAnsi="Arial" w:cs="Arial"/>
          <w:iCs/>
          <w:sz w:val="22"/>
          <w:szCs w:val="22"/>
        </w:rPr>
        <w:t xml:space="preserve">toutes les plateformes qui tirent un avantage financier de leur activité sur le marché local doivent contribuer financièrement, proportionnellement, à la création de nouveaux contenus locaux au profit des publics locaux, en ajoutant que </w:t>
      </w:r>
      <w:r w:rsidR="00E8412A">
        <w:rPr>
          <w:rFonts w:ascii="Arial" w:eastAsia="Arial" w:hAnsi="Arial" w:cs="Arial"/>
          <w:iCs/>
          <w:sz w:val="22"/>
          <w:szCs w:val="22"/>
        </w:rPr>
        <w:t>« </w:t>
      </w:r>
      <w:r w:rsidRPr="00FD0261">
        <w:rPr>
          <w:rFonts w:ascii="Arial" w:eastAsia="Arial" w:hAnsi="Arial" w:cs="Arial"/>
          <w:iCs/>
          <w:sz w:val="22"/>
          <w:szCs w:val="22"/>
        </w:rPr>
        <w:t xml:space="preserve">tout cadre d'investissement réglementé par le gouvernement doit spécifier que la majorité de cet investissement doit être réalisé par le biais de projets où la propriété intellectuelle est sous le contrôle d'entreprises de </w:t>
      </w:r>
      <w:r w:rsidRPr="00FD0261">
        <w:rPr>
          <w:rFonts w:ascii="Arial" w:eastAsia="Arial" w:hAnsi="Arial" w:cs="Arial"/>
          <w:iCs/>
          <w:sz w:val="22"/>
          <w:szCs w:val="22"/>
        </w:rPr>
        <w:lastRenderedPageBreak/>
        <w:t>cinéma indépendantes</w:t>
      </w:r>
      <w:r w:rsidR="00E8412A">
        <w:rPr>
          <w:rFonts w:ascii="Arial" w:eastAsia="Arial" w:hAnsi="Arial" w:cs="Arial"/>
          <w:iCs/>
          <w:sz w:val="22"/>
          <w:szCs w:val="22"/>
        </w:rPr>
        <w:t> »</w:t>
      </w:r>
      <w:r w:rsidRPr="00FD0261">
        <w:rPr>
          <w:rFonts w:ascii="Arial" w:eastAsia="Arial" w:hAnsi="Arial" w:cs="Arial"/>
          <w:iCs/>
          <w:sz w:val="22"/>
          <w:szCs w:val="22"/>
        </w:rPr>
        <w:t>. La déclaration a été soutenue par 20 organisations, dont 14</w:t>
      </w:r>
      <w:r w:rsidR="00E8412A">
        <w:rPr>
          <w:rFonts w:ascii="Arial" w:eastAsia="Arial" w:hAnsi="Arial" w:cs="Arial"/>
          <w:iCs/>
          <w:sz w:val="22"/>
          <w:szCs w:val="22"/>
        </w:rPr>
        <w:t xml:space="preserve"> organisations basées en </w:t>
      </w:r>
      <w:r w:rsidRPr="00FD0261">
        <w:rPr>
          <w:rFonts w:ascii="Arial" w:eastAsia="Arial" w:hAnsi="Arial" w:cs="Arial"/>
          <w:iCs/>
          <w:sz w:val="22"/>
          <w:szCs w:val="22"/>
        </w:rPr>
        <w:t xml:space="preserve">Europe et </w:t>
      </w:r>
      <w:r w:rsidR="00E55562">
        <w:rPr>
          <w:rFonts w:ascii="Arial" w:eastAsia="Arial" w:hAnsi="Arial" w:cs="Arial"/>
          <w:iCs/>
          <w:sz w:val="22"/>
          <w:szCs w:val="22"/>
        </w:rPr>
        <w:t xml:space="preserve">trois </w:t>
      </w:r>
      <w:r w:rsidR="00E8412A">
        <w:rPr>
          <w:rFonts w:ascii="Arial" w:eastAsia="Arial" w:hAnsi="Arial" w:cs="Arial"/>
          <w:iCs/>
          <w:sz w:val="22"/>
          <w:szCs w:val="22"/>
        </w:rPr>
        <w:t>basées</w:t>
      </w:r>
      <w:r w:rsidRPr="00FD0261">
        <w:rPr>
          <w:rFonts w:ascii="Arial" w:eastAsia="Arial" w:hAnsi="Arial" w:cs="Arial"/>
          <w:iCs/>
          <w:sz w:val="22"/>
          <w:szCs w:val="22"/>
        </w:rPr>
        <w:t xml:space="preserve"> </w:t>
      </w:r>
      <w:r w:rsidR="00E8412A">
        <w:rPr>
          <w:rFonts w:ascii="Arial" w:eastAsia="Arial" w:hAnsi="Arial" w:cs="Arial"/>
          <w:iCs/>
          <w:sz w:val="22"/>
          <w:szCs w:val="22"/>
        </w:rPr>
        <w:t>au</w:t>
      </w:r>
      <w:r w:rsidRPr="00FD0261">
        <w:rPr>
          <w:rFonts w:ascii="Arial" w:eastAsia="Arial" w:hAnsi="Arial" w:cs="Arial"/>
          <w:iCs/>
          <w:sz w:val="22"/>
          <w:szCs w:val="22"/>
        </w:rPr>
        <w:t xml:space="preserve"> Canada.</w:t>
      </w:r>
    </w:p>
    <w:p w14:paraId="2C44BD29" w14:textId="52F659E7" w:rsidR="00B8661C" w:rsidRPr="00F64DFB" w:rsidRDefault="00B8661C" w:rsidP="00F64DFB">
      <w:pPr>
        <w:spacing w:before="288" w:after="288" w:line="276" w:lineRule="auto"/>
        <w:ind w:left="426" w:right="714"/>
        <w:jc w:val="both"/>
        <w:rPr>
          <w:rFonts w:ascii="Arial" w:eastAsia="Arial" w:hAnsi="Arial" w:cs="Arial"/>
          <w:iCs/>
          <w:sz w:val="22"/>
          <w:szCs w:val="22"/>
        </w:rPr>
      </w:pPr>
      <w:r w:rsidRPr="00F64DFB">
        <w:rPr>
          <w:rFonts w:ascii="Arial" w:eastAsia="Arial" w:hAnsi="Arial" w:cs="Arial"/>
          <w:b/>
          <w:bCs/>
          <w:sz w:val="22"/>
          <w:szCs w:val="22"/>
        </w:rPr>
        <w:t>Activités mondiales des plateformes en ligne</w:t>
      </w:r>
    </w:p>
    <w:p w14:paraId="4B84AB34" w14:textId="77777777" w:rsidR="00FD0261" w:rsidRPr="00FD0261" w:rsidRDefault="00FD0261" w:rsidP="00FD0261">
      <w:pPr>
        <w:spacing w:before="288" w:after="288" w:line="276" w:lineRule="auto"/>
        <w:ind w:left="426" w:right="714"/>
        <w:jc w:val="both"/>
        <w:rPr>
          <w:rFonts w:ascii="Arial" w:eastAsia="Arial" w:hAnsi="Arial" w:cs="Arial"/>
          <w:i/>
          <w:iCs/>
          <w:sz w:val="22"/>
          <w:szCs w:val="22"/>
        </w:rPr>
      </w:pPr>
      <w:r w:rsidRPr="00FD0261">
        <w:rPr>
          <w:rFonts w:ascii="Arial" w:eastAsia="Arial" w:hAnsi="Arial" w:cs="Arial"/>
          <w:i/>
          <w:iCs/>
          <w:sz w:val="22"/>
          <w:szCs w:val="22"/>
        </w:rPr>
        <w:t>Marché de la musique</w:t>
      </w:r>
    </w:p>
    <w:p w14:paraId="3BA8BC8A" w14:textId="63EE3D9F" w:rsidR="00FD0261" w:rsidRP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Selon la Fédération internationale de l'industrie phonographique (</w:t>
      </w:r>
      <w:hyperlink r:id="rId24" w:history="1">
        <w:r w:rsidR="00B8306B" w:rsidRPr="00193BE3">
          <w:rPr>
            <w:rStyle w:val="Hyperlink"/>
            <w:rFonts w:ascii="Arial" w:hAnsi="Arial" w:cs="Arial"/>
            <w:sz w:val="22"/>
            <w:szCs w:val="22"/>
            <w:lang w:val="fr-FR"/>
          </w:rPr>
          <w:t>IFPI</w:t>
        </w:r>
      </w:hyperlink>
      <w:r w:rsidRPr="00FD0261">
        <w:rPr>
          <w:rFonts w:ascii="Arial" w:eastAsia="Arial" w:hAnsi="Arial" w:cs="Arial"/>
          <w:iCs/>
          <w:sz w:val="22"/>
          <w:szCs w:val="22"/>
        </w:rPr>
        <w:t xml:space="preserve">), les revenus mondiaux de la musique enregistrée ont augmenté pour la neuvième année consécutive en 2023, avec des revenus totaux en hausse de 10,2 % pour atteindre 28,6 milliards USD. Le </w:t>
      </w:r>
      <w:hyperlink r:id="rId25" w:history="1">
        <w:r w:rsidR="00B8306B" w:rsidRPr="00193BE3">
          <w:rPr>
            <w:rStyle w:val="Hyperlink"/>
            <w:rFonts w:ascii="Arial" w:hAnsi="Arial" w:cs="Arial"/>
            <w:sz w:val="22"/>
            <w:szCs w:val="22"/>
            <w:lang w:val="fr-FR"/>
          </w:rPr>
          <w:t>Global Music Report 2024</w:t>
        </w:r>
      </w:hyperlink>
      <w:r w:rsidR="00797D24" w:rsidRPr="00193BE3">
        <w:rPr>
          <w:rStyle w:val="Hyperlink"/>
          <w:rFonts w:ascii="Arial" w:hAnsi="Arial" w:cs="Arial"/>
          <w:sz w:val="22"/>
          <w:szCs w:val="22"/>
          <w:lang w:val="fr-FR"/>
        </w:rPr>
        <w:t xml:space="preserve"> </w:t>
      </w:r>
      <w:r w:rsidRPr="00FD0261">
        <w:rPr>
          <w:rFonts w:ascii="Arial" w:eastAsia="Arial" w:hAnsi="Arial" w:cs="Arial"/>
          <w:iCs/>
          <w:sz w:val="22"/>
          <w:szCs w:val="22"/>
        </w:rPr>
        <w:t xml:space="preserve">montre que </w:t>
      </w:r>
      <w:r w:rsidR="00E8412A">
        <w:rPr>
          <w:rFonts w:ascii="Arial" w:eastAsia="Arial" w:hAnsi="Arial" w:cs="Arial"/>
          <w:iCs/>
          <w:sz w:val="22"/>
          <w:szCs w:val="22"/>
        </w:rPr>
        <w:t>« </w:t>
      </w:r>
      <w:r w:rsidRPr="00FD0261">
        <w:rPr>
          <w:rFonts w:ascii="Arial" w:eastAsia="Arial" w:hAnsi="Arial" w:cs="Arial"/>
          <w:iCs/>
          <w:sz w:val="22"/>
          <w:szCs w:val="22"/>
        </w:rPr>
        <w:t>l</w:t>
      </w:r>
      <w:r w:rsidR="00384B35">
        <w:rPr>
          <w:rFonts w:ascii="Arial" w:eastAsia="Arial" w:hAnsi="Arial" w:cs="Arial"/>
          <w:iCs/>
          <w:sz w:val="22"/>
          <w:szCs w:val="22"/>
        </w:rPr>
        <w:t>a diffusion en continu</w:t>
      </w:r>
      <w:r w:rsidRPr="00FD0261">
        <w:rPr>
          <w:rFonts w:ascii="Arial" w:eastAsia="Arial" w:hAnsi="Arial" w:cs="Arial"/>
          <w:iCs/>
          <w:sz w:val="22"/>
          <w:szCs w:val="22"/>
        </w:rPr>
        <w:t xml:space="preserve"> a continué à dominer les revenus mondiaux en 2023, mais tous les formats musicaux ont enregistré une augmentation des revenus, à l'exception des téléchargements et des autres formats numériques</w:t>
      </w:r>
      <w:r w:rsidR="00E8412A">
        <w:rPr>
          <w:rFonts w:ascii="Arial" w:eastAsia="Arial" w:hAnsi="Arial" w:cs="Arial"/>
          <w:iCs/>
          <w:sz w:val="22"/>
          <w:szCs w:val="22"/>
        </w:rPr>
        <w:t> »</w:t>
      </w:r>
      <w:r w:rsidRPr="00FD0261">
        <w:rPr>
          <w:rFonts w:ascii="Arial" w:eastAsia="Arial" w:hAnsi="Arial" w:cs="Arial"/>
          <w:iCs/>
          <w:sz w:val="22"/>
          <w:szCs w:val="22"/>
        </w:rPr>
        <w:t>. La croissance a été tirée par l</w:t>
      </w:r>
      <w:r w:rsidR="00384B35">
        <w:rPr>
          <w:rFonts w:ascii="Arial" w:eastAsia="Arial" w:hAnsi="Arial" w:cs="Arial"/>
          <w:iCs/>
          <w:sz w:val="22"/>
          <w:szCs w:val="22"/>
        </w:rPr>
        <w:t>a diffusion en continu</w:t>
      </w:r>
      <w:r w:rsidRPr="00FD0261">
        <w:rPr>
          <w:rFonts w:ascii="Arial" w:eastAsia="Arial" w:hAnsi="Arial" w:cs="Arial"/>
          <w:iCs/>
          <w:sz w:val="22"/>
          <w:szCs w:val="22"/>
        </w:rPr>
        <w:t xml:space="preserve"> (y compris les abonnements payants et ceux soutenus par la publicité), qui a augmenté de 11,2 % en glissement annuel pour atteindre 19,3 milliards USD et représente désormais plus des deux tiers du marché mondial total, soit 67,3 % du total des revenus mondiaux (voir le tableau 1). Les revenus de la diffusion en continu par abonnement représentent près de la moitié (48,9 %) du marché mondial, avec un total de 667 millions d'utilisateurs de comptes d'abonnement payants, </w:t>
      </w:r>
      <w:r w:rsidR="00384B35">
        <w:rPr>
          <w:rFonts w:ascii="Arial" w:eastAsia="Arial" w:hAnsi="Arial" w:cs="Arial"/>
          <w:iCs/>
          <w:sz w:val="22"/>
          <w:szCs w:val="22"/>
        </w:rPr>
        <w:t>« </w:t>
      </w:r>
      <w:r w:rsidRPr="00FD0261">
        <w:rPr>
          <w:rFonts w:ascii="Arial" w:eastAsia="Arial" w:hAnsi="Arial" w:cs="Arial"/>
          <w:iCs/>
          <w:sz w:val="22"/>
          <w:szCs w:val="22"/>
        </w:rPr>
        <w:t>avec une pénétration des ménages variant fortement selon les pays</w:t>
      </w:r>
      <w:r w:rsidR="00384B35">
        <w:rPr>
          <w:rFonts w:ascii="Arial" w:eastAsia="Arial" w:hAnsi="Arial" w:cs="Arial"/>
          <w:iCs/>
          <w:sz w:val="22"/>
          <w:szCs w:val="22"/>
        </w:rPr>
        <w:t> »</w:t>
      </w:r>
      <w:r w:rsidRPr="00FD0261">
        <w:rPr>
          <w:rFonts w:ascii="Arial" w:eastAsia="Arial" w:hAnsi="Arial" w:cs="Arial"/>
          <w:iCs/>
          <w:sz w:val="22"/>
          <w:szCs w:val="22"/>
        </w:rPr>
        <w:t>.</w:t>
      </w:r>
    </w:p>
    <w:p w14:paraId="171B2AAA" w14:textId="1C6B93F2" w:rsid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Selon l'étude, pour la troisième année consécutive, les revenus physiques ont augmenté de 13,4 % en 2023, grâce à la forte hausse des revenus des CD et à l'intérêt toujours croissant pour les vinyles. Les téléchargements et autres canaux numériques ont été les seuls à connaître un déclin en 2023, avec une baisse de 2,6 %, alors que la trajectoire de la consommation de musique numérique est passée d'un modèle de propriété à un modèle d'accès et que les formats de diffusion en continu dominent le marché numérique.  </w:t>
      </w:r>
    </w:p>
    <w:p w14:paraId="13BA8C56" w14:textId="4BF10B94" w:rsidR="00FD0261" w:rsidRDefault="00FD0261" w:rsidP="00FD0261">
      <w:pPr>
        <w:spacing w:before="288" w:after="288" w:line="276" w:lineRule="auto"/>
        <w:ind w:left="426" w:right="714"/>
        <w:jc w:val="both"/>
        <w:rPr>
          <w:rFonts w:ascii="Arial" w:eastAsia="Arial" w:hAnsi="Arial" w:cs="Arial"/>
          <w:iCs/>
          <w:sz w:val="22"/>
          <w:szCs w:val="22"/>
        </w:rPr>
      </w:pPr>
      <w:r w:rsidRPr="00FD0261">
        <w:rPr>
          <w:rFonts w:ascii="Arial" w:eastAsia="Arial" w:hAnsi="Arial" w:cs="Arial"/>
          <w:iCs/>
          <w:sz w:val="22"/>
          <w:szCs w:val="22"/>
        </w:rPr>
        <w:t xml:space="preserve">Parmi les régions du monde, c'est l'Afrique subsaharienne qui a connu la croissance la plus rapide, avec une progression remarquable de 24,7 %. L'Afrique du Sud est restée </w:t>
      </w:r>
      <w:r w:rsidR="00384B35">
        <w:rPr>
          <w:rFonts w:ascii="Arial" w:eastAsia="Arial" w:hAnsi="Arial" w:cs="Arial"/>
          <w:iCs/>
          <w:sz w:val="22"/>
          <w:szCs w:val="22"/>
        </w:rPr>
        <w:t>« </w:t>
      </w:r>
      <w:r w:rsidRPr="00FD0261">
        <w:rPr>
          <w:rFonts w:ascii="Arial" w:eastAsia="Arial" w:hAnsi="Arial" w:cs="Arial"/>
          <w:iCs/>
          <w:sz w:val="22"/>
          <w:szCs w:val="22"/>
        </w:rPr>
        <w:t xml:space="preserve">le plus grand marché de la région, contribuant </w:t>
      </w:r>
      <w:r w:rsidR="00393059">
        <w:rPr>
          <w:rFonts w:ascii="Arial" w:eastAsia="Arial" w:hAnsi="Arial" w:cs="Arial"/>
          <w:iCs/>
          <w:sz w:val="22"/>
          <w:szCs w:val="22"/>
        </w:rPr>
        <w:t xml:space="preserve">pour </w:t>
      </w:r>
      <w:r w:rsidRPr="00FD0261">
        <w:rPr>
          <w:rFonts w:ascii="Arial" w:eastAsia="Arial" w:hAnsi="Arial" w:cs="Arial"/>
          <w:iCs/>
          <w:sz w:val="22"/>
          <w:szCs w:val="22"/>
        </w:rPr>
        <w:t>77 % des recettes régionales après une croissance de 19,9 %</w:t>
      </w:r>
      <w:r w:rsidR="00384B35">
        <w:rPr>
          <w:rFonts w:ascii="Arial" w:eastAsia="Arial" w:hAnsi="Arial" w:cs="Arial"/>
          <w:iCs/>
          <w:sz w:val="22"/>
          <w:szCs w:val="22"/>
        </w:rPr>
        <w:t> »</w:t>
      </w:r>
      <w:r w:rsidRPr="00FD0261">
        <w:rPr>
          <w:rFonts w:ascii="Arial" w:eastAsia="Arial" w:hAnsi="Arial" w:cs="Arial"/>
          <w:iCs/>
          <w:sz w:val="22"/>
          <w:szCs w:val="22"/>
        </w:rPr>
        <w:t>. L'Afrique subsaharienne est suivie par l'Amérique latine (+19,4 %), où les revenus de la diffusion en continu représentent 86,3 % du marché latino-américain, l'une des proportions les plus élevées de toutes les régions. Le Moyen-Orient et l'Afrique du Nord ont connu une croissance globale des revenus de 14,4 %, où les revenus d</w:t>
      </w:r>
      <w:r w:rsidR="00384B35">
        <w:rPr>
          <w:rFonts w:ascii="Arial" w:eastAsia="Arial" w:hAnsi="Arial" w:cs="Arial"/>
          <w:iCs/>
          <w:sz w:val="22"/>
          <w:szCs w:val="22"/>
        </w:rPr>
        <w:t>e la diffusion en continu</w:t>
      </w:r>
      <w:r w:rsidRPr="00FD0261">
        <w:rPr>
          <w:rFonts w:ascii="Arial" w:eastAsia="Arial" w:hAnsi="Arial" w:cs="Arial"/>
          <w:iCs/>
          <w:sz w:val="22"/>
          <w:szCs w:val="22"/>
        </w:rPr>
        <w:t xml:space="preserve"> ont dominé une fois de plus avec une part de marché de 98,4 % dans cette région. Enfin, le chiffre d'affaires global a augmenté de 14,9 % en Asie, où </w:t>
      </w:r>
      <w:r w:rsidR="00384B35">
        <w:rPr>
          <w:rFonts w:ascii="Arial" w:eastAsia="Arial" w:hAnsi="Arial" w:cs="Arial"/>
          <w:iCs/>
          <w:sz w:val="22"/>
          <w:szCs w:val="22"/>
        </w:rPr>
        <w:t>« </w:t>
      </w:r>
      <w:r w:rsidRPr="00FD0261">
        <w:rPr>
          <w:rFonts w:ascii="Arial" w:eastAsia="Arial" w:hAnsi="Arial" w:cs="Arial"/>
          <w:iCs/>
          <w:sz w:val="22"/>
          <w:szCs w:val="22"/>
        </w:rPr>
        <w:t>la Chine a connu une forte croissance de 25,9 %, soit le taux de croissance le plus élevé de tous les marchés du Top 10</w:t>
      </w:r>
      <w:r w:rsidR="00384B35">
        <w:rPr>
          <w:rFonts w:ascii="Arial" w:eastAsia="Arial" w:hAnsi="Arial" w:cs="Arial"/>
          <w:iCs/>
          <w:sz w:val="22"/>
          <w:szCs w:val="22"/>
        </w:rPr>
        <w:t> »</w:t>
      </w:r>
      <w:r w:rsidRPr="00FD0261">
        <w:rPr>
          <w:rFonts w:ascii="Arial" w:eastAsia="Arial" w:hAnsi="Arial" w:cs="Arial"/>
          <w:iCs/>
          <w:sz w:val="22"/>
          <w:szCs w:val="22"/>
        </w:rPr>
        <w:t>.</w:t>
      </w:r>
    </w:p>
    <w:p w14:paraId="7C593EA6" w14:textId="77777777" w:rsidR="00797D24" w:rsidRPr="00C86F83" w:rsidRDefault="00797D24" w:rsidP="00797D24">
      <w:pPr>
        <w:spacing w:before="288" w:after="288"/>
        <w:ind w:left="426" w:right="714"/>
        <w:jc w:val="both"/>
        <w:rPr>
          <w:rFonts w:ascii="Times New Roman" w:eastAsia="Times New Roman" w:hAnsi="Times New Roman" w:cs="Times New Roman"/>
          <w:lang w:eastAsia="en-GB"/>
        </w:rPr>
      </w:pPr>
      <w:r w:rsidRPr="00C86F83">
        <w:rPr>
          <w:rFonts w:ascii="Arial" w:eastAsia="Times New Roman" w:hAnsi="Arial" w:cs="Arial"/>
          <w:b/>
          <w:bCs/>
          <w:color w:val="000000"/>
          <w:sz w:val="22"/>
          <w:szCs w:val="22"/>
          <w:lang w:eastAsia="en-GB"/>
        </w:rPr>
        <w:lastRenderedPageBreak/>
        <w:t>Table</w:t>
      </w:r>
      <w:r>
        <w:rPr>
          <w:rFonts w:ascii="Arial" w:eastAsia="Times New Roman" w:hAnsi="Arial" w:cs="Arial"/>
          <w:b/>
          <w:bCs/>
          <w:color w:val="000000"/>
          <w:sz w:val="22"/>
          <w:szCs w:val="22"/>
          <w:lang w:val="nl-NL" w:eastAsia="en-GB"/>
        </w:rPr>
        <w:t>au</w:t>
      </w:r>
      <w:r w:rsidRPr="00C86F83">
        <w:rPr>
          <w:rFonts w:ascii="Arial" w:eastAsia="Times New Roman" w:hAnsi="Arial" w:cs="Arial"/>
          <w:b/>
          <w:bCs/>
          <w:color w:val="000000"/>
          <w:sz w:val="22"/>
          <w:szCs w:val="22"/>
          <w:lang w:eastAsia="en-GB"/>
        </w:rPr>
        <w:t xml:space="preserve"> 1</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7"/>
        <w:gridCol w:w="778"/>
        <w:gridCol w:w="779"/>
        <w:gridCol w:w="781"/>
        <w:gridCol w:w="661"/>
        <w:gridCol w:w="815"/>
        <w:gridCol w:w="702"/>
        <w:gridCol w:w="702"/>
        <w:gridCol w:w="702"/>
        <w:gridCol w:w="702"/>
        <w:gridCol w:w="702"/>
      </w:tblGrid>
      <w:tr w:rsidR="00797D24" w:rsidRPr="00F04C53" w14:paraId="67D697B6" w14:textId="77777777" w:rsidTr="00114319">
        <w:trPr>
          <w:trHeight w:val="660"/>
          <w:jc w:val="center"/>
        </w:trPr>
        <w:tc>
          <w:tcPr>
            <w:tcW w:w="1857" w:type="dxa"/>
            <w:shd w:val="clear" w:color="auto" w:fill="D5DCE4"/>
          </w:tcPr>
          <w:p w14:paraId="61278D36" w14:textId="1B25CD23" w:rsidR="00797D24" w:rsidRPr="00F04C53" w:rsidRDefault="00797D24" w:rsidP="00114319">
            <w:pPr>
              <w:jc w:val="both"/>
              <w:rPr>
                <w:rFonts w:ascii="Arial" w:eastAsia="Arial" w:hAnsi="Arial" w:cs="Arial"/>
                <w:sz w:val="20"/>
                <w:szCs w:val="20"/>
                <w:lang w:val="en-CA"/>
              </w:rPr>
            </w:pPr>
            <w:r w:rsidRPr="00C86F83">
              <w:rPr>
                <w:rFonts w:ascii="Arial" w:eastAsia="Times New Roman" w:hAnsi="Arial" w:cs="Arial"/>
                <w:color w:val="000000"/>
                <w:sz w:val="20"/>
                <w:szCs w:val="20"/>
                <w:lang w:eastAsia="en-GB"/>
              </w:rPr>
              <w:t>Revenus (en USD) / Année</w:t>
            </w:r>
          </w:p>
        </w:tc>
        <w:tc>
          <w:tcPr>
            <w:tcW w:w="778" w:type="dxa"/>
            <w:shd w:val="clear" w:color="auto" w:fill="D5DCE4"/>
          </w:tcPr>
          <w:p w14:paraId="45614176"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1999</w:t>
            </w:r>
          </w:p>
        </w:tc>
        <w:tc>
          <w:tcPr>
            <w:tcW w:w="779" w:type="dxa"/>
            <w:shd w:val="clear" w:color="auto" w:fill="D5DCE4"/>
          </w:tcPr>
          <w:p w14:paraId="3F191479"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2004</w:t>
            </w:r>
          </w:p>
        </w:tc>
        <w:tc>
          <w:tcPr>
            <w:tcW w:w="781" w:type="dxa"/>
            <w:shd w:val="clear" w:color="auto" w:fill="D5DCE4"/>
          </w:tcPr>
          <w:p w14:paraId="4033402C"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2009</w:t>
            </w:r>
          </w:p>
        </w:tc>
        <w:tc>
          <w:tcPr>
            <w:tcW w:w="661" w:type="dxa"/>
            <w:shd w:val="clear" w:color="auto" w:fill="D5DCE4"/>
          </w:tcPr>
          <w:p w14:paraId="0931A623"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2012</w:t>
            </w:r>
          </w:p>
        </w:tc>
        <w:tc>
          <w:tcPr>
            <w:tcW w:w="815" w:type="dxa"/>
            <w:shd w:val="clear" w:color="auto" w:fill="D5DCE4"/>
          </w:tcPr>
          <w:p w14:paraId="50BF5180"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2014</w:t>
            </w:r>
          </w:p>
        </w:tc>
        <w:tc>
          <w:tcPr>
            <w:tcW w:w="702" w:type="dxa"/>
            <w:shd w:val="clear" w:color="auto" w:fill="D5DCE4"/>
          </w:tcPr>
          <w:p w14:paraId="56A66B99"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2017</w:t>
            </w:r>
          </w:p>
        </w:tc>
        <w:tc>
          <w:tcPr>
            <w:tcW w:w="702" w:type="dxa"/>
            <w:shd w:val="clear" w:color="auto" w:fill="D5DCE4"/>
          </w:tcPr>
          <w:p w14:paraId="497AAD17"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2019</w:t>
            </w:r>
          </w:p>
        </w:tc>
        <w:tc>
          <w:tcPr>
            <w:tcW w:w="702" w:type="dxa"/>
            <w:shd w:val="clear" w:color="auto" w:fill="D5DCE4"/>
          </w:tcPr>
          <w:p w14:paraId="024F2366"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2021</w:t>
            </w:r>
          </w:p>
        </w:tc>
        <w:tc>
          <w:tcPr>
            <w:tcW w:w="702" w:type="dxa"/>
            <w:shd w:val="clear" w:color="auto" w:fill="D5DCE4"/>
          </w:tcPr>
          <w:p w14:paraId="310DC3F1"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2022</w:t>
            </w:r>
          </w:p>
        </w:tc>
        <w:tc>
          <w:tcPr>
            <w:tcW w:w="702" w:type="dxa"/>
            <w:shd w:val="clear" w:color="auto" w:fill="D5DCE4"/>
          </w:tcPr>
          <w:p w14:paraId="7822BDC1"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2023</w:t>
            </w:r>
          </w:p>
        </w:tc>
      </w:tr>
      <w:tr w:rsidR="00797D24" w:rsidRPr="00F04C53" w14:paraId="2D313C60" w14:textId="77777777" w:rsidTr="00114319">
        <w:trPr>
          <w:trHeight w:val="736"/>
          <w:jc w:val="center"/>
        </w:trPr>
        <w:tc>
          <w:tcPr>
            <w:tcW w:w="1857" w:type="dxa"/>
            <w:shd w:val="clear" w:color="auto" w:fill="D5DCE4"/>
          </w:tcPr>
          <w:p w14:paraId="2E871209" w14:textId="09E11F99" w:rsidR="00797D24" w:rsidRPr="00F04C53" w:rsidRDefault="00797D24" w:rsidP="00114319">
            <w:pPr>
              <w:jc w:val="both"/>
              <w:rPr>
                <w:rFonts w:ascii="Arial" w:eastAsia="Arial" w:hAnsi="Arial" w:cs="Arial"/>
                <w:sz w:val="20"/>
                <w:szCs w:val="20"/>
                <w:lang w:val="en-CA"/>
              </w:rPr>
            </w:pPr>
            <w:r>
              <w:rPr>
                <w:rFonts w:ascii="Arial" w:eastAsia="Times New Roman" w:hAnsi="Arial" w:cs="Arial"/>
                <w:sz w:val="20"/>
                <w:szCs w:val="20"/>
                <w:lang w:eastAsia="en-GB"/>
              </w:rPr>
              <w:t>Revenus physiques totaux</w:t>
            </w:r>
          </w:p>
        </w:tc>
        <w:tc>
          <w:tcPr>
            <w:tcW w:w="778" w:type="dxa"/>
          </w:tcPr>
          <w:p w14:paraId="0ECBB2D9"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22.2</w:t>
            </w:r>
          </w:p>
        </w:tc>
        <w:tc>
          <w:tcPr>
            <w:tcW w:w="779" w:type="dxa"/>
          </w:tcPr>
          <w:p w14:paraId="3798DE90"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17.9</w:t>
            </w:r>
          </w:p>
        </w:tc>
        <w:tc>
          <w:tcPr>
            <w:tcW w:w="781" w:type="dxa"/>
          </w:tcPr>
          <w:p w14:paraId="7E9F08D5"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9.5</w:t>
            </w:r>
          </w:p>
        </w:tc>
        <w:tc>
          <w:tcPr>
            <w:tcW w:w="661" w:type="dxa"/>
          </w:tcPr>
          <w:p w14:paraId="3622E15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6.8</w:t>
            </w:r>
          </w:p>
        </w:tc>
        <w:tc>
          <w:tcPr>
            <w:tcW w:w="815" w:type="dxa"/>
          </w:tcPr>
          <w:p w14:paraId="732CB514"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5.3</w:t>
            </w:r>
          </w:p>
        </w:tc>
        <w:tc>
          <w:tcPr>
            <w:tcW w:w="702" w:type="dxa"/>
          </w:tcPr>
          <w:p w14:paraId="152BA99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4.6</w:t>
            </w:r>
          </w:p>
        </w:tc>
        <w:tc>
          <w:tcPr>
            <w:tcW w:w="702" w:type="dxa"/>
          </w:tcPr>
          <w:p w14:paraId="4716D4DC"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3.9</w:t>
            </w:r>
          </w:p>
        </w:tc>
        <w:tc>
          <w:tcPr>
            <w:tcW w:w="702" w:type="dxa"/>
          </w:tcPr>
          <w:p w14:paraId="51F0DA2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4.3</w:t>
            </w:r>
          </w:p>
        </w:tc>
        <w:tc>
          <w:tcPr>
            <w:tcW w:w="702" w:type="dxa"/>
          </w:tcPr>
          <w:p w14:paraId="1FEF03E2"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4.5</w:t>
            </w:r>
          </w:p>
        </w:tc>
        <w:tc>
          <w:tcPr>
            <w:tcW w:w="702" w:type="dxa"/>
          </w:tcPr>
          <w:p w14:paraId="2F74C188"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5.1</w:t>
            </w:r>
          </w:p>
        </w:tc>
      </w:tr>
      <w:tr w:rsidR="00797D24" w:rsidRPr="00F04C53" w14:paraId="7C53AA84" w14:textId="77777777" w:rsidTr="00114319">
        <w:trPr>
          <w:trHeight w:val="478"/>
          <w:jc w:val="center"/>
        </w:trPr>
        <w:tc>
          <w:tcPr>
            <w:tcW w:w="1857" w:type="dxa"/>
            <w:shd w:val="clear" w:color="auto" w:fill="D5DCE4"/>
          </w:tcPr>
          <w:p w14:paraId="54E5EAAB" w14:textId="7DC73CF5" w:rsidR="00797D24" w:rsidRPr="00F04C53" w:rsidRDefault="00797D24" w:rsidP="00114319">
            <w:pPr>
              <w:jc w:val="both"/>
              <w:rPr>
                <w:rFonts w:ascii="Arial" w:eastAsia="Arial" w:hAnsi="Arial" w:cs="Arial"/>
                <w:sz w:val="20"/>
                <w:szCs w:val="20"/>
                <w:lang w:val="en-CA"/>
              </w:rPr>
            </w:pPr>
            <w:r>
              <w:rPr>
                <w:rFonts w:ascii="Arial" w:eastAsia="Times New Roman" w:hAnsi="Arial" w:cs="Arial"/>
                <w:sz w:val="20"/>
                <w:szCs w:val="20"/>
                <w:lang w:eastAsia="en-GB"/>
              </w:rPr>
              <w:t>Diffusion en continu totale</w:t>
            </w:r>
          </w:p>
        </w:tc>
        <w:tc>
          <w:tcPr>
            <w:tcW w:w="778" w:type="dxa"/>
          </w:tcPr>
          <w:p w14:paraId="13687A04"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2A1DA167"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81" w:type="dxa"/>
          </w:tcPr>
          <w:p w14:paraId="4DC5BDDD"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0.4</w:t>
            </w:r>
          </w:p>
        </w:tc>
        <w:tc>
          <w:tcPr>
            <w:tcW w:w="661" w:type="dxa"/>
          </w:tcPr>
          <w:p w14:paraId="3611B222"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0.9</w:t>
            </w:r>
          </w:p>
        </w:tc>
        <w:tc>
          <w:tcPr>
            <w:tcW w:w="815" w:type="dxa"/>
          </w:tcPr>
          <w:p w14:paraId="5FEB9CF0"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1.8</w:t>
            </w:r>
          </w:p>
        </w:tc>
        <w:tc>
          <w:tcPr>
            <w:tcW w:w="702" w:type="dxa"/>
          </w:tcPr>
          <w:p w14:paraId="6CF0942D"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6.2</w:t>
            </w:r>
          </w:p>
        </w:tc>
        <w:tc>
          <w:tcPr>
            <w:tcW w:w="702" w:type="dxa"/>
          </w:tcPr>
          <w:p w14:paraId="64717F40"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10.7</w:t>
            </w:r>
          </w:p>
        </w:tc>
        <w:tc>
          <w:tcPr>
            <w:tcW w:w="702" w:type="dxa"/>
          </w:tcPr>
          <w:p w14:paraId="712BB2A8"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15.7</w:t>
            </w:r>
          </w:p>
        </w:tc>
        <w:tc>
          <w:tcPr>
            <w:tcW w:w="702" w:type="dxa"/>
          </w:tcPr>
          <w:p w14:paraId="3471D343"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17.5</w:t>
            </w:r>
          </w:p>
        </w:tc>
        <w:tc>
          <w:tcPr>
            <w:tcW w:w="702" w:type="dxa"/>
          </w:tcPr>
          <w:p w14:paraId="0DC2917A"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19.3</w:t>
            </w:r>
          </w:p>
        </w:tc>
      </w:tr>
      <w:tr w:rsidR="00797D24" w:rsidRPr="00F04C53" w14:paraId="34A9C820" w14:textId="77777777" w:rsidTr="00114319">
        <w:trPr>
          <w:trHeight w:val="532"/>
          <w:jc w:val="center"/>
        </w:trPr>
        <w:tc>
          <w:tcPr>
            <w:tcW w:w="1857" w:type="dxa"/>
            <w:shd w:val="clear" w:color="auto" w:fill="D5DCE4"/>
          </w:tcPr>
          <w:p w14:paraId="30C188CF" w14:textId="455466DD" w:rsidR="00797D24" w:rsidRPr="00193BE3" w:rsidRDefault="00797D24" w:rsidP="00114319">
            <w:pPr>
              <w:jc w:val="both"/>
              <w:rPr>
                <w:rFonts w:ascii="Arial" w:eastAsia="Arial" w:hAnsi="Arial" w:cs="Arial"/>
                <w:sz w:val="20"/>
                <w:szCs w:val="20"/>
                <w:lang w:val="fr-FR"/>
              </w:rPr>
            </w:pPr>
            <w:r w:rsidRPr="004753E8">
              <w:rPr>
                <w:rFonts w:ascii="Arial" w:hAnsi="Arial" w:cs="Arial"/>
                <w:sz w:val="20"/>
                <w:szCs w:val="20"/>
              </w:rPr>
              <w:t>Téléchargement et autres revenus numériques</w:t>
            </w:r>
          </w:p>
        </w:tc>
        <w:tc>
          <w:tcPr>
            <w:tcW w:w="778" w:type="dxa"/>
          </w:tcPr>
          <w:p w14:paraId="0BAA349C"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1BB0FC1F"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0.3</w:t>
            </w:r>
          </w:p>
        </w:tc>
        <w:tc>
          <w:tcPr>
            <w:tcW w:w="781" w:type="dxa"/>
          </w:tcPr>
          <w:p w14:paraId="6FC4F49F"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3.5</w:t>
            </w:r>
          </w:p>
        </w:tc>
        <w:tc>
          <w:tcPr>
            <w:tcW w:w="661" w:type="dxa"/>
          </w:tcPr>
          <w:p w14:paraId="71E95CEA"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4.2</w:t>
            </w:r>
          </w:p>
        </w:tc>
        <w:tc>
          <w:tcPr>
            <w:tcW w:w="815" w:type="dxa"/>
          </w:tcPr>
          <w:p w14:paraId="209E5F3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3.9</w:t>
            </w:r>
          </w:p>
        </w:tc>
        <w:tc>
          <w:tcPr>
            <w:tcW w:w="702" w:type="dxa"/>
          </w:tcPr>
          <w:p w14:paraId="76B88617"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2.5</w:t>
            </w:r>
          </w:p>
        </w:tc>
        <w:tc>
          <w:tcPr>
            <w:tcW w:w="702" w:type="dxa"/>
          </w:tcPr>
          <w:p w14:paraId="1FFD25E1"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1.4</w:t>
            </w:r>
          </w:p>
        </w:tc>
        <w:tc>
          <w:tcPr>
            <w:tcW w:w="702" w:type="dxa"/>
          </w:tcPr>
          <w:p w14:paraId="4DA2F697"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1.1</w:t>
            </w:r>
          </w:p>
        </w:tc>
        <w:tc>
          <w:tcPr>
            <w:tcW w:w="702" w:type="dxa"/>
          </w:tcPr>
          <w:p w14:paraId="7FDACE20"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0.9</w:t>
            </w:r>
          </w:p>
        </w:tc>
        <w:tc>
          <w:tcPr>
            <w:tcW w:w="702" w:type="dxa"/>
          </w:tcPr>
          <w:p w14:paraId="0822A893"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0.9</w:t>
            </w:r>
          </w:p>
        </w:tc>
      </w:tr>
      <w:tr w:rsidR="00797D24" w:rsidRPr="00F04C53" w14:paraId="0FBC5CEC" w14:textId="77777777" w:rsidTr="00114319">
        <w:trPr>
          <w:trHeight w:val="387"/>
          <w:jc w:val="center"/>
        </w:trPr>
        <w:tc>
          <w:tcPr>
            <w:tcW w:w="1857" w:type="dxa"/>
            <w:shd w:val="clear" w:color="auto" w:fill="D5DCE4"/>
          </w:tcPr>
          <w:p w14:paraId="706F3A5B" w14:textId="5BD3D630" w:rsidR="00797D24" w:rsidRPr="00F04C53" w:rsidRDefault="00797D24" w:rsidP="00114319">
            <w:pPr>
              <w:jc w:val="both"/>
              <w:rPr>
                <w:rFonts w:ascii="Arial" w:eastAsia="Arial" w:hAnsi="Arial" w:cs="Arial"/>
                <w:sz w:val="20"/>
                <w:szCs w:val="20"/>
                <w:lang w:val="en-CA"/>
              </w:rPr>
            </w:pPr>
            <w:r w:rsidRPr="004753E8">
              <w:rPr>
                <w:rFonts w:ascii="Arial" w:hAnsi="Arial" w:cs="Arial"/>
                <w:sz w:val="20"/>
                <w:szCs w:val="20"/>
              </w:rPr>
              <w:t>Droits de représentation</w:t>
            </w:r>
          </w:p>
        </w:tc>
        <w:tc>
          <w:tcPr>
            <w:tcW w:w="778" w:type="dxa"/>
          </w:tcPr>
          <w:p w14:paraId="761EA0E1"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100EC044"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0.9</w:t>
            </w:r>
          </w:p>
        </w:tc>
        <w:tc>
          <w:tcPr>
            <w:tcW w:w="781" w:type="dxa"/>
          </w:tcPr>
          <w:p w14:paraId="20F2B32B"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1.2</w:t>
            </w:r>
          </w:p>
        </w:tc>
        <w:tc>
          <w:tcPr>
            <w:tcW w:w="661" w:type="dxa"/>
          </w:tcPr>
          <w:p w14:paraId="19D03085"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1.4</w:t>
            </w:r>
          </w:p>
        </w:tc>
        <w:tc>
          <w:tcPr>
            <w:tcW w:w="815" w:type="dxa"/>
          </w:tcPr>
          <w:p w14:paraId="62E2251F"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1.7</w:t>
            </w:r>
          </w:p>
        </w:tc>
        <w:tc>
          <w:tcPr>
            <w:tcW w:w="702" w:type="dxa"/>
          </w:tcPr>
          <w:p w14:paraId="18B7090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2.2</w:t>
            </w:r>
          </w:p>
        </w:tc>
        <w:tc>
          <w:tcPr>
            <w:tcW w:w="702" w:type="dxa"/>
          </w:tcPr>
          <w:p w14:paraId="40E31C0D"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2.4</w:t>
            </w:r>
          </w:p>
        </w:tc>
        <w:tc>
          <w:tcPr>
            <w:tcW w:w="702" w:type="dxa"/>
          </w:tcPr>
          <w:p w14:paraId="63B800E0"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2.3</w:t>
            </w:r>
          </w:p>
        </w:tc>
        <w:tc>
          <w:tcPr>
            <w:tcW w:w="702" w:type="dxa"/>
          </w:tcPr>
          <w:p w14:paraId="25068FA2"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2.5</w:t>
            </w:r>
          </w:p>
        </w:tc>
        <w:tc>
          <w:tcPr>
            <w:tcW w:w="702" w:type="dxa"/>
          </w:tcPr>
          <w:p w14:paraId="07C0EFC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2.7</w:t>
            </w:r>
          </w:p>
        </w:tc>
      </w:tr>
      <w:tr w:rsidR="00797D24" w:rsidRPr="00F04C53" w14:paraId="2E01692D" w14:textId="77777777" w:rsidTr="00114319">
        <w:trPr>
          <w:trHeight w:val="587"/>
          <w:jc w:val="center"/>
        </w:trPr>
        <w:tc>
          <w:tcPr>
            <w:tcW w:w="1857" w:type="dxa"/>
            <w:shd w:val="clear" w:color="auto" w:fill="D5DCE4"/>
          </w:tcPr>
          <w:p w14:paraId="48458E38" w14:textId="6A615448" w:rsidR="00797D24" w:rsidRPr="00F04C53" w:rsidRDefault="00797D24" w:rsidP="00114319">
            <w:pPr>
              <w:jc w:val="both"/>
              <w:rPr>
                <w:rFonts w:ascii="Arial" w:eastAsia="Arial" w:hAnsi="Arial" w:cs="Arial"/>
                <w:sz w:val="20"/>
                <w:szCs w:val="20"/>
                <w:lang w:val="en-CA"/>
              </w:rPr>
            </w:pPr>
            <w:r w:rsidRPr="004753E8">
              <w:rPr>
                <w:rFonts w:ascii="Arial" w:hAnsi="Arial" w:cs="Arial"/>
                <w:sz w:val="20"/>
                <w:szCs w:val="20"/>
              </w:rPr>
              <w:t>Revenus de synchronisation</w:t>
            </w:r>
          </w:p>
        </w:tc>
        <w:tc>
          <w:tcPr>
            <w:tcW w:w="778" w:type="dxa"/>
          </w:tcPr>
          <w:p w14:paraId="2F6DD4EF"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238E9F74"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81" w:type="dxa"/>
          </w:tcPr>
          <w:p w14:paraId="3187FBAF"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661" w:type="dxa"/>
          </w:tcPr>
          <w:p w14:paraId="48CF3A8C"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0.3</w:t>
            </w:r>
          </w:p>
        </w:tc>
        <w:tc>
          <w:tcPr>
            <w:tcW w:w="815" w:type="dxa"/>
          </w:tcPr>
          <w:p w14:paraId="5105DBC2"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0.3</w:t>
            </w:r>
          </w:p>
        </w:tc>
        <w:tc>
          <w:tcPr>
            <w:tcW w:w="702" w:type="dxa"/>
          </w:tcPr>
          <w:p w14:paraId="68CC8594"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0.4</w:t>
            </w:r>
          </w:p>
        </w:tc>
        <w:tc>
          <w:tcPr>
            <w:tcW w:w="702" w:type="dxa"/>
          </w:tcPr>
          <w:p w14:paraId="092D7262"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0.4</w:t>
            </w:r>
          </w:p>
        </w:tc>
        <w:tc>
          <w:tcPr>
            <w:tcW w:w="702" w:type="dxa"/>
          </w:tcPr>
          <w:p w14:paraId="2F89D77E"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0.5</w:t>
            </w:r>
          </w:p>
        </w:tc>
        <w:tc>
          <w:tcPr>
            <w:tcW w:w="702" w:type="dxa"/>
          </w:tcPr>
          <w:p w14:paraId="561CD7F6"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0.6</w:t>
            </w:r>
          </w:p>
        </w:tc>
        <w:tc>
          <w:tcPr>
            <w:tcW w:w="702" w:type="dxa"/>
          </w:tcPr>
          <w:p w14:paraId="2B95D461"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0.6</w:t>
            </w:r>
          </w:p>
        </w:tc>
      </w:tr>
      <w:tr w:rsidR="00797D24" w:rsidRPr="00F04C53" w14:paraId="52FF3BFD" w14:textId="77777777" w:rsidTr="00114319">
        <w:trPr>
          <w:trHeight w:val="387"/>
          <w:jc w:val="center"/>
        </w:trPr>
        <w:tc>
          <w:tcPr>
            <w:tcW w:w="1857" w:type="dxa"/>
            <w:shd w:val="clear" w:color="auto" w:fill="D5DCE4"/>
          </w:tcPr>
          <w:p w14:paraId="072CB852" w14:textId="34444E4B" w:rsidR="00797D24" w:rsidRPr="00F04C53" w:rsidRDefault="00797D24" w:rsidP="00114319">
            <w:pPr>
              <w:jc w:val="both"/>
              <w:rPr>
                <w:rFonts w:ascii="Arial" w:eastAsia="Arial" w:hAnsi="Arial" w:cs="Arial"/>
                <w:b/>
                <w:sz w:val="20"/>
                <w:szCs w:val="20"/>
                <w:lang w:val="en-CA"/>
              </w:rPr>
            </w:pPr>
            <w:r w:rsidRPr="004753E8">
              <w:rPr>
                <w:rFonts w:ascii="Arial" w:hAnsi="Arial" w:cs="Arial"/>
                <w:b/>
                <w:sz w:val="20"/>
                <w:szCs w:val="20"/>
              </w:rPr>
              <w:t>Revenus totaux en USD</w:t>
            </w:r>
          </w:p>
        </w:tc>
        <w:tc>
          <w:tcPr>
            <w:tcW w:w="778" w:type="dxa"/>
          </w:tcPr>
          <w:p w14:paraId="59A7D484"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22.2</w:t>
            </w:r>
          </w:p>
        </w:tc>
        <w:tc>
          <w:tcPr>
            <w:tcW w:w="779" w:type="dxa"/>
          </w:tcPr>
          <w:p w14:paraId="1690A4AC"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19.1</w:t>
            </w:r>
          </w:p>
        </w:tc>
        <w:tc>
          <w:tcPr>
            <w:tcW w:w="781" w:type="dxa"/>
          </w:tcPr>
          <w:p w14:paraId="460A105C"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14.5</w:t>
            </w:r>
          </w:p>
        </w:tc>
        <w:tc>
          <w:tcPr>
            <w:tcW w:w="661" w:type="dxa"/>
          </w:tcPr>
          <w:p w14:paraId="0B2263E7"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13.6</w:t>
            </w:r>
          </w:p>
        </w:tc>
        <w:tc>
          <w:tcPr>
            <w:tcW w:w="815" w:type="dxa"/>
          </w:tcPr>
          <w:p w14:paraId="415F5D86"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13.0</w:t>
            </w:r>
          </w:p>
        </w:tc>
        <w:tc>
          <w:tcPr>
            <w:tcW w:w="702" w:type="dxa"/>
          </w:tcPr>
          <w:p w14:paraId="0293B7E6"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15.8</w:t>
            </w:r>
          </w:p>
        </w:tc>
        <w:tc>
          <w:tcPr>
            <w:tcW w:w="702" w:type="dxa"/>
          </w:tcPr>
          <w:p w14:paraId="78029A57"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18.8</w:t>
            </w:r>
          </w:p>
        </w:tc>
        <w:tc>
          <w:tcPr>
            <w:tcW w:w="702" w:type="dxa"/>
          </w:tcPr>
          <w:p w14:paraId="16E7E6C2"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23.8</w:t>
            </w:r>
          </w:p>
        </w:tc>
        <w:tc>
          <w:tcPr>
            <w:tcW w:w="702" w:type="dxa"/>
          </w:tcPr>
          <w:p w14:paraId="598C614A"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26.0</w:t>
            </w:r>
          </w:p>
        </w:tc>
        <w:tc>
          <w:tcPr>
            <w:tcW w:w="702" w:type="dxa"/>
          </w:tcPr>
          <w:p w14:paraId="797D324A" w14:textId="77777777" w:rsidR="00797D24" w:rsidRPr="00F04C53" w:rsidRDefault="00797D24" w:rsidP="00114319">
            <w:pPr>
              <w:jc w:val="both"/>
              <w:rPr>
                <w:rFonts w:ascii="Arial" w:eastAsia="Arial" w:hAnsi="Arial" w:cs="Arial"/>
                <w:sz w:val="20"/>
                <w:szCs w:val="20"/>
                <w:lang w:val="en-CA"/>
              </w:rPr>
            </w:pPr>
            <w:r w:rsidRPr="00F04C53">
              <w:rPr>
                <w:rFonts w:ascii="Arial" w:eastAsia="Arial" w:hAnsi="Arial" w:cs="Arial"/>
                <w:sz w:val="20"/>
                <w:szCs w:val="20"/>
                <w:lang w:val="en-CA"/>
              </w:rPr>
              <w:t>28.6</w:t>
            </w:r>
          </w:p>
        </w:tc>
      </w:tr>
    </w:tbl>
    <w:p w14:paraId="64198D6F" w14:textId="14AB9FB9" w:rsidR="00B8661C" w:rsidRDefault="00B8661C" w:rsidP="00F64DFB">
      <w:pPr>
        <w:spacing w:before="288" w:after="288" w:line="276" w:lineRule="auto"/>
        <w:ind w:left="426" w:right="714"/>
        <w:jc w:val="both"/>
        <w:rPr>
          <w:rFonts w:ascii="Arial" w:eastAsia="Arial" w:hAnsi="Arial" w:cs="Arial"/>
          <w:i/>
          <w:iCs/>
          <w:sz w:val="22"/>
          <w:szCs w:val="22"/>
        </w:rPr>
      </w:pPr>
      <w:r w:rsidRPr="00F64DFB">
        <w:rPr>
          <w:rFonts w:ascii="Arial" w:eastAsia="Arial" w:hAnsi="Arial" w:cs="Arial"/>
          <w:i/>
          <w:iCs/>
          <w:sz w:val="22"/>
          <w:szCs w:val="22"/>
        </w:rPr>
        <w:t>Nouveaux partenariats</w:t>
      </w:r>
      <w:r w:rsidR="00776263" w:rsidRPr="00F64DFB">
        <w:rPr>
          <w:rFonts w:ascii="Arial" w:eastAsia="Arial" w:hAnsi="Arial" w:cs="Arial"/>
          <w:i/>
          <w:iCs/>
          <w:sz w:val="22"/>
          <w:szCs w:val="22"/>
        </w:rPr>
        <w:t xml:space="preserve"> et plans commerciaux</w:t>
      </w:r>
      <w:r w:rsidRPr="00F64DFB">
        <w:rPr>
          <w:rFonts w:ascii="Arial" w:eastAsia="Arial" w:hAnsi="Arial" w:cs="Arial"/>
          <w:i/>
          <w:iCs/>
          <w:sz w:val="22"/>
          <w:szCs w:val="22"/>
        </w:rPr>
        <w:t xml:space="preserve"> </w:t>
      </w:r>
    </w:p>
    <w:p w14:paraId="50D4EAEB" w14:textId="4F1DDEEF" w:rsidR="00FD0261" w:rsidRPr="00FD0261" w:rsidRDefault="00FD0261" w:rsidP="00FD0261">
      <w:pPr>
        <w:spacing w:before="288" w:after="288" w:line="276" w:lineRule="auto"/>
        <w:ind w:left="426" w:right="714"/>
        <w:jc w:val="both"/>
        <w:rPr>
          <w:rFonts w:ascii="Arial" w:eastAsia="Arial" w:hAnsi="Arial" w:cs="Arial"/>
          <w:sz w:val="22"/>
          <w:szCs w:val="22"/>
        </w:rPr>
      </w:pPr>
      <w:r w:rsidRPr="00FD0261">
        <w:rPr>
          <w:rFonts w:ascii="Arial" w:eastAsia="Arial" w:hAnsi="Arial" w:cs="Arial"/>
          <w:sz w:val="22"/>
          <w:szCs w:val="22"/>
        </w:rPr>
        <w:t xml:space="preserve">Fin février, </w:t>
      </w:r>
      <w:hyperlink r:id="rId26" w:history="1">
        <w:r w:rsidR="00797D24" w:rsidRPr="00193BE3">
          <w:rPr>
            <w:rStyle w:val="Hyperlink"/>
            <w:rFonts w:ascii="Arial" w:eastAsia="Arial" w:hAnsi="Arial" w:cs="Arial"/>
            <w:iCs/>
            <w:sz w:val="22"/>
            <w:szCs w:val="22"/>
            <w:lang w:val="fr-FR"/>
          </w:rPr>
          <w:t>BBC Studios</w:t>
        </w:r>
      </w:hyperlink>
      <w:r w:rsidRPr="00FD0261">
        <w:rPr>
          <w:rFonts w:ascii="Arial" w:eastAsia="Arial" w:hAnsi="Arial" w:cs="Arial"/>
          <w:sz w:val="22"/>
          <w:szCs w:val="22"/>
        </w:rPr>
        <w:t xml:space="preserve"> a racheté la participation de 50 % du radiodiffuseur britannique ITV dans le diffuseur en continu BritBox International pour 322 millions USD. L'accord donnera aux studios BBC la pleine propriété de la plateforme de streaming BritBox. Comme le mentionne </w:t>
      </w:r>
      <w:hyperlink r:id="rId27" w:history="1">
        <w:r w:rsidR="00797D24" w:rsidRPr="00193BE3">
          <w:rPr>
            <w:rStyle w:val="Hyperlink"/>
            <w:rFonts w:ascii="Arial" w:eastAsia="Arial" w:hAnsi="Arial" w:cs="Arial"/>
            <w:iCs/>
            <w:sz w:val="22"/>
            <w:szCs w:val="22"/>
            <w:lang w:val="fr-FR"/>
          </w:rPr>
          <w:t>The Hollywood Reporter</w:t>
        </w:r>
      </w:hyperlink>
      <w:r w:rsidRPr="00FD0261">
        <w:rPr>
          <w:rFonts w:ascii="Arial" w:eastAsia="Arial" w:hAnsi="Arial" w:cs="Arial"/>
          <w:sz w:val="22"/>
          <w:szCs w:val="22"/>
        </w:rPr>
        <w:t xml:space="preserve">, </w:t>
      </w:r>
      <w:r w:rsidR="00C553E9">
        <w:rPr>
          <w:rFonts w:ascii="Arial" w:eastAsia="Arial" w:hAnsi="Arial" w:cs="Arial"/>
          <w:sz w:val="22"/>
          <w:szCs w:val="22"/>
        </w:rPr>
        <w:t>« </w:t>
      </w:r>
      <w:r w:rsidRPr="00FD0261">
        <w:rPr>
          <w:rFonts w:ascii="Arial" w:eastAsia="Arial" w:hAnsi="Arial" w:cs="Arial"/>
          <w:sz w:val="22"/>
          <w:szCs w:val="22"/>
        </w:rPr>
        <w:t>BritBox fera partie de la division Global Media and Streaming de la société, complétant son portefeuille en expansion de services numériques et directs au consommateur qui comprend BBC.com, BBC Select, le service de streaming doc premium sans publicité de la BBC en Amérique du Nord et BBC Podcast Premium, un service audio disponible dans plus de 160 pays</w:t>
      </w:r>
      <w:r w:rsidR="00C553E9">
        <w:rPr>
          <w:rFonts w:ascii="Arial" w:eastAsia="Arial" w:hAnsi="Arial" w:cs="Arial"/>
          <w:sz w:val="22"/>
          <w:szCs w:val="22"/>
        </w:rPr>
        <w:t> »</w:t>
      </w:r>
      <w:r w:rsidRPr="00FD0261">
        <w:rPr>
          <w:rFonts w:ascii="Arial" w:eastAsia="Arial" w:hAnsi="Arial" w:cs="Arial"/>
          <w:sz w:val="22"/>
          <w:szCs w:val="22"/>
        </w:rPr>
        <w:t>. BritBox a été fondée en 2017 en tant que coentreprise entre BBC Studios, qui est la branche commerciale du radiodiffuseur britannique, et ITV.</w:t>
      </w:r>
    </w:p>
    <w:p w14:paraId="78660985" w14:textId="2F73C024" w:rsidR="00FD0261" w:rsidRDefault="00FD0261" w:rsidP="00FD0261">
      <w:pPr>
        <w:spacing w:before="288" w:after="288" w:line="276" w:lineRule="auto"/>
        <w:ind w:left="426" w:right="714"/>
        <w:jc w:val="both"/>
        <w:rPr>
          <w:rFonts w:ascii="Arial" w:eastAsia="Arial" w:hAnsi="Arial" w:cs="Arial"/>
          <w:sz w:val="22"/>
          <w:szCs w:val="22"/>
        </w:rPr>
      </w:pPr>
      <w:r w:rsidRPr="00FD0261">
        <w:rPr>
          <w:rFonts w:ascii="Arial" w:eastAsia="Arial" w:hAnsi="Arial" w:cs="Arial"/>
          <w:sz w:val="22"/>
          <w:szCs w:val="22"/>
        </w:rPr>
        <w:t xml:space="preserve">Fin mars, la </w:t>
      </w:r>
      <w:hyperlink r:id="rId28" w:history="1">
        <w:r w:rsidR="00797D24" w:rsidRPr="00193BE3">
          <w:rPr>
            <w:rStyle w:val="Hyperlink"/>
            <w:rFonts w:ascii="Arial" w:eastAsia="Arial" w:hAnsi="Arial" w:cs="Arial"/>
            <w:iCs/>
            <w:sz w:val="22"/>
            <w:szCs w:val="22"/>
            <w:lang w:val="fr-FR"/>
          </w:rPr>
          <w:t>Walt Disney</w:t>
        </w:r>
      </w:hyperlink>
      <w:r w:rsidRPr="00FD0261">
        <w:rPr>
          <w:rFonts w:ascii="Arial" w:eastAsia="Arial" w:hAnsi="Arial" w:cs="Arial"/>
          <w:sz w:val="22"/>
          <w:szCs w:val="22"/>
        </w:rPr>
        <w:t xml:space="preserve"> Company a annoncé le lancement officiel du service de streaming Hulu sur </w:t>
      </w:r>
      <w:hyperlink r:id="rId29" w:history="1">
        <w:r w:rsidRPr="00013D9F">
          <w:rPr>
            <w:rStyle w:val="Hyperlink"/>
            <w:rFonts w:ascii="Arial" w:eastAsia="Arial" w:hAnsi="Arial" w:cs="Arial"/>
            <w:sz w:val="22"/>
            <w:szCs w:val="22"/>
          </w:rPr>
          <w:t>Disney Plus</w:t>
        </w:r>
      </w:hyperlink>
      <w:r w:rsidRPr="00FD0261">
        <w:rPr>
          <w:rFonts w:ascii="Arial" w:eastAsia="Arial" w:hAnsi="Arial" w:cs="Arial"/>
          <w:sz w:val="22"/>
          <w:szCs w:val="22"/>
        </w:rPr>
        <w:t xml:space="preserve"> aux États-Unis, réunissant les vastes catalogues de Disney Plus et de Hulu. Ainsi, pour les consommateurs qui sont abonnés à la fois à Disney Plus et à Hulu, il est possible de regarder tout le contenu des deux plateformes en un seul </w:t>
      </w:r>
      <w:r w:rsidR="00DE2ED5">
        <w:rPr>
          <w:rFonts w:ascii="Arial" w:eastAsia="Arial" w:hAnsi="Arial" w:cs="Arial"/>
          <w:sz w:val="22"/>
          <w:szCs w:val="22"/>
        </w:rPr>
        <w:t>service</w:t>
      </w:r>
      <w:r w:rsidRPr="00FD0261">
        <w:rPr>
          <w:rFonts w:ascii="Arial" w:eastAsia="Arial" w:hAnsi="Arial" w:cs="Arial"/>
          <w:sz w:val="22"/>
          <w:szCs w:val="22"/>
        </w:rPr>
        <w:t xml:space="preserve"> : Disney Plus. Comme le souligne </w:t>
      </w:r>
      <w:hyperlink r:id="rId30" w:history="1">
        <w:r w:rsidRPr="00C553E9">
          <w:rPr>
            <w:rStyle w:val="Hyperlink"/>
            <w:rFonts w:ascii="Arial" w:eastAsia="Arial" w:hAnsi="Arial" w:cs="Arial"/>
            <w:sz w:val="22"/>
            <w:szCs w:val="22"/>
          </w:rPr>
          <w:t>Vulture</w:t>
        </w:r>
      </w:hyperlink>
      <w:r w:rsidRPr="00FD0261">
        <w:rPr>
          <w:rFonts w:ascii="Arial" w:eastAsia="Arial" w:hAnsi="Arial" w:cs="Arial"/>
          <w:sz w:val="22"/>
          <w:szCs w:val="22"/>
        </w:rPr>
        <w:t xml:space="preserve">, </w:t>
      </w:r>
      <w:r w:rsidR="00C553E9">
        <w:rPr>
          <w:rFonts w:ascii="Arial" w:eastAsia="Arial" w:hAnsi="Arial" w:cs="Arial"/>
          <w:sz w:val="22"/>
          <w:szCs w:val="22"/>
        </w:rPr>
        <w:t>« </w:t>
      </w:r>
      <w:r w:rsidRPr="00FD0261">
        <w:rPr>
          <w:rFonts w:ascii="Arial" w:eastAsia="Arial" w:hAnsi="Arial" w:cs="Arial"/>
          <w:sz w:val="22"/>
          <w:szCs w:val="22"/>
        </w:rPr>
        <w:t>cette soi-disant expérience d'une seule application combinant Disney Plus et Hulu est en préparation depuis plus d'un an</w:t>
      </w:r>
      <w:r w:rsidR="00C553E9">
        <w:rPr>
          <w:rFonts w:ascii="Arial" w:eastAsia="Arial" w:hAnsi="Arial" w:cs="Arial"/>
          <w:sz w:val="22"/>
          <w:szCs w:val="22"/>
        </w:rPr>
        <w:t> »</w:t>
      </w:r>
      <w:r w:rsidRPr="00FD0261">
        <w:rPr>
          <w:rFonts w:ascii="Arial" w:eastAsia="Arial" w:hAnsi="Arial" w:cs="Arial"/>
          <w:sz w:val="22"/>
          <w:szCs w:val="22"/>
        </w:rPr>
        <w:t>.</w:t>
      </w:r>
    </w:p>
    <w:p w14:paraId="2E9900E9" w14:textId="308773D8" w:rsidR="00FD0261" w:rsidRPr="00FD0261" w:rsidRDefault="00FD0261" w:rsidP="00FD0261">
      <w:pPr>
        <w:spacing w:before="288" w:after="288" w:line="276" w:lineRule="auto"/>
        <w:ind w:left="426" w:right="714"/>
        <w:jc w:val="both"/>
        <w:rPr>
          <w:rFonts w:ascii="Arial" w:eastAsia="Arial" w:hAnsi="Arial" w:cs="Arial"/>
          <w:sz w:val="22"/>
          <w:szCs w:val="22"/>
        </w:rPr>
      </w:pPr>
      <w:r w:rsidRPr="00FD0261">
        <w:rPr>
          <w:rFonts w:ascii="Arial" w:eastAsia="Arial" w:hAnsi="Arial" w:cs="Arial"/>
          <w:sz w:val="22"/>
          <w:szCs w:val="22"/>
        </w:rPr>
        <w:t xml:space="preserve">Au Royaume-Uni, </w:t>
      </w:r>
      <w:hyperlink r:id="rId31" w:history="1">
        <w:r w:rsidR="00797D24" w:rsidRPr="00193BE3">
          <w:rPr>
            <w:rStyle w:val="Hyperlink"/>
            <w:rFonts w:ascii="Arial" w:eastAsia="Arial" w:hAnsi="Arial" w:cs="Arial"/>
            <w:iCs/>
            <w:sz w:val="22"/>
            <w:szCs w:val="22"/>
            <w:lang w:val="fr-FR"/>
          </w:rPr>
          <w:t>Spotify</w:t>
        </w:r>
      </w:hyperlink>
      <w:r w:rsidRPr="00FD0261">
        <w:rPr>
          <w:rFonts w:ascii="Arial" w:eastAsia="Arial" w:hAnsi="Arial" w:cs="Arial"/>
          <w:sz w:val="22"/>
          <w:szCs w:val="22"/>
        </w:rPr>
        <w:t xml:space="preserve"> a commencé à proposer une quatrième catégorie de contenu</w:t>
      </w:r>
      <w:r w:rsidR="000C7A65">
        <w:rPr>
          <w:rFonts w:ascii="Arial" w:eastAsia="Arial" w:hAnsi="Arial" w:cs="Arial"/>
          <w:sz w:val="22"/>
          <w:szCs w:val="22"/>
        </w:rPr>
        <w:t>s</w:t>
      </w:r>
      <w:r w:rsidRPr="00FD0261">
        <w:rPr>
          <w:rFonts w:ascii="Arial" w:eastAsia="Arial" w:hAnsi="Arial" w:cs="Arial"/>
          <w:sz w:val="22"/>
          <w:szCs w:val="22"/>
        </w:rPr>
        <w:t xml:space="preserve"> en plus de sa bibliothèque existante de chansons, de podcasts et de livres audio : les cours en ligne. Comme le mentionne </w:t>
      </w:r>
      <w:hyperlink r:id="rId32" w:history="1">
        <w:r w:rsidRPr="00C553E9">
          <w:rPr>
            <w:rStyle w:val="Hyperlink"/>
            <w:rFonts w:ascii="Arial" w:eastAsia="Arial" w:hAnsi="Arial" w:cs="Arial"/>
            <w:sz w:val="22"/>
            <w:szCs w:val="22"/>
          </w:rPr>
          <w:t>The Verge</w:t>
        </w:r>
      </w:hyperlink>
      <w:r w:rsidRPr="00FD0261">
        <w:rPr>
          <w:rFonts w:ascii="Arial" w:eastAsia="Arial" w:hAnsi="Arial" w:cs="Arial"/>
          <w:sz w:val="22"/>
          <w:szCs w:val="22"/>
        </w:rPr>
        <w:t xml:space="preserve">, l'entreprise proposera un </w:t>
      </w:r>
      <w:r w:rsidRPr="00FD0261">
        <w:rPr>
          <w:rFonts w:ascii="Arial" w:eastAsia="Arial" w:hAnsi="Arial" w:cs="Arial"/>
          <w:sz w:val="22"/>
          <w:szCs w:val="22"/>
        </w:rPr>
        <w:lastRenderedPageBreak/>
        <w:t xml:space="preserve">nouveau service, qui </w:t>
      </w:r>
      <w:r w:rsidR="00C553E9">
        <w:rPr>
          <w:rFonts w:ascii="Arial" w:eastAsia="Arial" w:hAnsi="Arial" w:cs="Arial"/>
          <w:sz w:val="22"/>
          <w:szCs w:val="22"/>
        </w:rPr>
        <w:t>« </w:t>
      </w:r>
      <w:r w:rsidRPr="00FD0261">
        <w:rPr>
          <w:rFonts w:ascii="Arial" w:eastAsia="Arial" w:hAnsi="Arial" w:cs="Arial"/>
          <w:sz w:val="22"/>
          <w:szCs w:val="22"/>
        </w:rPr>
        <w:t>verra des leçons basées sur des vidéos de BBC Maestro, Skillshare, Thinkific et PlayVirtuoso rendues disponibles via les applications de Spotify sur mobile et sur ordinateur</w:t>
      </w:r>
      <w:r w:rsidR="00C553E9">
        <w:rPr>
          <w:rFonts w:ascii="Arial" w:eastAsia="Arial" w:hAnsi="Arial" w:cs="Arial"/>
          <w:sz w:val="22"/>
          <w:szCs w:val="22"/>
        </w:rPr>
        <w:t> »</w:t>
      </w:r>
      <w:r w:rsidRPr="00FD0261">
        <w:rPr>
          <w:rFonts w:ascii="Arial" w:eastAsia="Arial" w:hAnsi="Arial" w:cs="Arial"/>
          <w:sz w:val="22"/>
          <w:szCs w:val="22"/>
        </w:rPr>
        <w:t>. Spotify propose quatre catégories de cours au Royaume-Uni : faire de la musique, être créatif, apprendre le commerce et partir en bonne santé.</w:t>
      </w:r>
    </w:p>
    <w:p w14:paraId="3EC4B580" w14:textId="77777777" w:rsidR="00FD0261" w:rsidRPr="00FD0261" w:rsidRDefault="00FD0261" w:rsidP="00FD0261">
      <w:pPr>
        <w:spacing w:before="288" w:after="288" w:line="276" w:lineRule="auto"/>
        <w:ind w:left="426" w:right="714"/>
        <w:jc w:val="both"/>
        <w:rPr>
          <w:rFonts w:ascii="Arial" w:eastAsia="Arial" w:hAnsi="Arial" w:cs="Arial"/>
          <w:i/>
          <w:sz w:val="22"/>
          <w:szCs w:val="22"/>
        </w:rPr>
      </w:pPr>
      <w:r w:rsidRPr="00FD0261">
        <w:rPr>
          <w:rFonts w:ascii="Arial" w:eastAsia="Arial" w:hAnsi="Arial" w:cs="Arial"/>
          <w:i/>
          <w:sz w:val="22"/>
          <w:szCs w:val="22"/>
        </w:rPr>
        <w:t xml:space="preserve">Expansion géographique et lutte pour les abonnés </w:t>
      </w:r>
    </w:p>
    <w:p w14:paraId="75D9E277" w14:textId="68F14A6F" w:rsidR="00FD0261" w:rsidRDefault="00FD0261" w:rsidP="00FD0261">
      <w:pPr>
        <w:spacing w:before="288" w:after="288" w:line="276" w:lineRule="auto"/>
        <w:ind w:left="426" w:right="714"/>
        <w:jc w:val="both"/>
        <w:rPr>
          <w:rFonts w:ascii="Arial" w:eastAsia="Arial" w:hAnsi="Arial" w:cs="Arial"/>
          <w:sz w:val="22"/>
          <w:szCs w:val="22"/>
        </w:rPr>
      </w:pPr>
      <w:r w:rsidRPr="00FD0261">
        <w:rPr>
          <w:rFonts w:ascii="Arial" w:eastAsia="Arial" w:hAnsi="Arial" w:cs="Arial"/>
          <w:sz w:val="22"/>
          <w:szCs w:val="22"/>
        </w:rPr>
        <w:t xml:space="preserve">Freely, le nouveau service de streaming gratuit soutenu par les radiodiffuseurs de service public britanniques, sera lancé au deuxième trimestre 2024. Comme le mentionne </w:t>
      </w:r>
      <w:hyperlink r:id="rId33" w:history="1">
        <w:r w:rsidR="00797D24" w:rsidRPr="00193BE3">
          <w:rPr>
            <w:rStyle w:val="Hyperlink"/>
            <w:rFonts w:ascii="Arial" w:hAnsi="Arial" w:cs="Arial"/>
            <w:sz w:val="22"/>
            <w:szCs w:val="22"/>
            <w:lang w:val="fr-FR"/>
          </w:rPr>
          <w:t>Variety</w:t>
        </w:r>
      </w:hyperlink>
      <w:r w:rsidRPr="00FD0261">
        <w:rPr>
          <w:rFonts w:ascii="Arial" w:eastAsia="Arial" w:hAnsi="Arial" w:cs="Arial"/>
          <w:sz w:val="22"/>
          <w:szCs w:val="22"/>
        </w:rPr>
        <w:t xml:space="preserve">, </w:t>
      </w:r>
      <w:r w:rsidR="00C553E9">
        <w:rPr>
          <w:rFonts w:ascii="Arial" w:eastAsia="Arial" w:hAnsi="Arial" w:cs="Arial"/>
          <w:sz w:val="22"/>
          <w:szCs w:val="22"/>
        </w:rPr>
        <w:t>« </w:t>
      </w:r>
      <w:r w:rsidRPr="00FD0261">
        <w:rPr>
          <w:rFonts w:ascii="Arial" w:eastAsia="Arial" w:hAnsi="Arial" w:cs="Arial"/>
          <w:sz w:val="22"/>
          <w:szCs w:val="22"/>
        </w:rPr>
        <w:t xml:space="preserve">cette initiative vient de Everyone TV, l'organisation qui gère la télévision gratuite au Royaume-Uni et qui est </w:t>
      </w:r>
      <w:r w:rsidR="002755F9">
        <w:rPr>
          <w:rFonts w:ascii="Arial" w:eastAsia="Arial" w:hAnsi="Arial" w:cs="Arial"/>
          <w:sz w:val="22"/>
          <w:szCs w:val="22"/>
        </w:rPr>
        <w:t>c</w:t>
      </w:r>
      <w:r w:rsidR="002755F9" w:rsidRPr="00FD0261">
        <w:rPr>
          <w:rFonts w:ascii="Arial" w:eastAsia="Arial" w:hAnsi="Arial" w:cs="Arial"/>
          <w:sz w:val="22"/>
          <w:szCs w:val="22"/>
        </w:rPr>
        <w:t>onjointement</w:t>
      </w:r>
      <w:r w:rsidR="002755F9">
        <w:rPr>
          <w:rFonts w:ascii="Arial" w:eastAsia="Arial" w:hAnsi="Arial" w:cs="Arial"/>
          <w:sz w:val="22"/>
          <w:szCs w:val="22"/>
        </w:rPr>
        <w:t xml:space="preserve"> </w:t>
      </w:r>
      <w:r w:rsidRPr="00FD0261">
        <w:rPr>
          <w:rFonts w:ascii="Arial" w:eastAsia="Arial" w:hAnsi="Arial" w:cs="Arial"/>
          <w:sz w:val="22"/>
          <w:szCs w:val="22"/>
        </w:rPr>
        <w:t>détenue par la BBC, ITV, Channel 4 et Channel 5</w:t>
      </w:r>
      <w:r w:rsidR="00C553E9">
        <w:rPr>
          <w:rFonts w:ascii="Arial" w:eastAsia="Arial" w:hAnsi="Arial" w:cs="Arial"/>
          <w:sz w:val="22"/>
          <w:szCs w:val="22"/>
        </w:rPr>
        <w:t> »</w:t>
      </w:r>
      <w:r w:rsidRPr="00FD0261">
        <w:rPr>
          <w:rFonts w:ascii="Arial" w:eastAsia="Arial" w:hAnsi="Arial" w:cs="Arial"/>
          <w:sz w:val="22"/>
          <w:szCs w:val="22"/>
        </w:rPr>
        <w:t xml:space="preserve">. Le service de streaming diffusera la télévision en direct sur le haut débit ainsi que du contenu à la demande sur les téléviseurs </w:t>
      </w:r>
      <w:r w:rsidR="00C553E9">
        <w:rPr>
          <w:rFonts w:ascii="Arial" w:eastAsia="Arial" w:hAnsi="Arial" w:cs="Arial"/>
          <w:sz w:val="22"/>
          <w:szCs w:val="22"/>
        </w:rPr>
        <w:t>Smart TV</w:t>
      </w:r>
      <w:r w:rsidRPr="00FD0261">
        <w:rPr>
          <w:rFonts w:ascii="Arial" w:eastAsia="Arial" w:hAnsi="Arial" w:cs="Arial"/>
          <w:sz w:val="22"/>
          <w:szCs w:val="22"/>
        </w:rPr>
        <w:t xml:space="preserve"> des utilisateurs via l'</w:t>
      </w:r>
      <w:r w:rsidR="00570D12">
        <w:rPr>
          <w:rFonts w:ascii="Arial" w:eastAsia="Arial" w:hAnsi="Arial" w:cs="Arial"/>
          <w:sz w:val="22"/>
          <w:szCs w:val="22"/>
        </w:rPr>
        <w:t>I</w:t>
      </w:r>
      <w:r w:rsidRPr="00FD0261">
        <w:rPr>
          <w:rFonts w:ascii="Arial" w:eastAsia="Arial" w:hAnsi="Arial" w:cs="Arial"/>
          <w:sz w:val="22"/>
          <w:szCs w:val="22"/>
        </w:rPr>
        <w:t xml:space="preserve">nternet. Selon </w:t>
      </w:r>
      <w:hyperlink r:id="rId34" w:history="1">
        <w:r w:rsidR="00797D24" w:rsidRPr="00193BE3">
          <w:rPr>
            <w:rStyle w:val="Hyperlink"/>
            <w:rFonts w:ascii="Arial" w:hAnsi="Arial" w:cs="Arial"/>
            <w:sz w:val="22"/>
            <w:szCs w:val="22"/>
            <w:lang w:val="fr-FR"/>
          </w:rPr>
          <w:t>Mashable</w:t>
        </w:r>
      </w:hyperlink>
      <w:r w:rsidRPr="00FD0261">
        <w:rPr>
          <w:rFonts w:ascii="Arial" w:eastAsia="Arial" w:hAnsi="Arial" w:cs="Arial"/>
          <w:sz w:val="22"/>
          <w:szCs w:val="22"/>
        </w:rPr>
        <w:t xml:space="preserve">, </w:t>
      </w:r>
      <w:r w:rsidR="00C553E9">
        <w:rPr>
          <w:rFonts w:ascii="Arial" w:eastAsia="Arial" w:hAnsi="Arial" w:cs="Arial"/>
          <w:sz w:val="22"/>
          <w:szCs w:val="22"/>
        </w:rPr>
        <w:t>« </w:t>
      </w:r>
      <w:r w:rsidRPr="00FD0261">
        <w:rPr>
          <w:rFonts w:ascii="Arial" w:eastAsia="Arial" w:hAnsi="Arial" w:cs="Arial"/>
          <w:sz w:val="22"/>
          <w:szCs w:val="22"/>
        </w:rPr>
        <w:t>Freely sera accessible dans n'importe quel foyer disposant d'une connexion WiFi. Mais il reste à voir comment la programmation de Freely se comparera au service de streaming par abonnement BritBox, fondé par la BBC et ITV</w:t>
      </w:r>
      <w:r w:rsidR="00C553E9">
        <w:rPr>
          <w:rFonts w:ascii="Arial" w:eastAsia="Arial" w:hAnsi="Arial" w:cs="Arial"/>
          <w:sz w:val="22"/>
          <w:szCs w:val="22"/>
        </w:rPr>
        <w:t> »</w:t>
      </w:r>
      <w:r w:rsidRPr="00FD0261">
        <w:rPr>
          <w:rFonts w:ascii="Arial" w:eastAsia="Arial" w:hAnsi="Arial" w:cs="Arial"/>
          <w:sz w:val="22"/>
          <w:szCs w:val="22"/>
        </w:rPr>
        <w:t>.</w:t>
      </w:r>
    </w:p>
    <w:p w14:paraId="6CF3C9A6" w14:textId="04BD8A52" w:rsidR="00FD0261" w:rsidRDefault="00FD0261" w:rsidP="00FD0261">
      <w:pPr>
        <w:spacing w:before="288" w:after="288" w:line="276" w:lineRule="auto"/>
        <w:ind w:left="426" w:right="714"/>
        <w:jc w:val="both"/>
        <w:rPr>
          <w:rFonts w:ascii="Arial" w:eastAsia="Arial" w:hAnsi="Arial" w:cs="Arial"/>
          <w:sz w:val="22"/>
          <w:szCs w:val="22"/>
        </w:rPr>
      </w:pPr>
      <w:r w:rsidRPr="00FD0261">
        <w:rPr>
          <w:rFonts w:ascii="Arial" w:eastAsia="Arial" w:hAnsi="Arial" w:cs="Arial"/>
          <w:sz w:val="22"/>
          <w:szCs w:val="22"/>
        </w:rPr>
        <w:t>Lors d'une key</w:t>
      </w:r>
      <w:r w:rsidR="002755F9">
        <w:rPr>
          <w:rFonts w:ascii="Arial" w:eastAsia="Arial" w:hAnsi="Arial" w:cs="Arial"/>
          <w:sz w:val="22"/>
          <w:szCs w:val="22"/>
        </w:rPr>
        <w:t>note</w:t>
      </w:r>
      <w:r w:rsidRPr="00FD0261">
        <w:rPr>
          <w:rFonts w:ascii="Arial" w:eastAsia="Arial" w:hAnsi="Arial" w:cs="Arial"/>
          <w:sz w:val="22"/>
          <w:szCs w:val="22"/>
        </w:rPr>
        <w:t xml:space="preserve"> au festival </w:t>
      </w:r>
      <w:hyperlink r:id="rId35" w:history="1">
        <w:r w:rsidR="00797D24" w:rsidRPr="00193BE3">
          <w:rPr>
            <w:rStyle w:val="Hyperlink"/>
            <w:rFonts w:ascii="Arial" w:hAnsi="Arial" w:cs="Arial"/>
            <w:sz w:val="22"/>
            <w:szCs w:val="22"/>
            <w:lang w:val="fr-FR"/>
          </w:rPr>
          <w:t>Series Mania</w:t>
        </w:r>
      </w:hyperlink>
      <w:r w:rsidRPr="00FD0261">
        <w:rPr>
          <w:rFonts w:ascii="Arial" w:eastAsia="Arial" w:hAnsi="Arial" w:cs="Arial"/>
          <w:sz w:val="22"/>
          <w:szCs w:val="22"/>
        </w:rPr>
        <w:t xml:space="preserve">, Delphine Ernotte-Cunci, PDG de France Télévisions, a mentionné que l'effondrement du streamer français Salto était </w:t>
      </w:r>
      <w:r w:rsidR="002755F9">
        <w:rPr>
          <w:rFonts w:ascii="Arial" w:eastAsia="Arial" w:hAnsi="Arial" w:cs="Arial"/>
          <w:sz w:val="22"/>
          <w:szCs w:val="22"/>
        </w:rPr>
        <w:t>« </w:t>
      </w:r>
      <w:r w:rsidRPr="00FD0261">
        <w:rPr>
          <w:rFonts w:ascii="Arial" w:eastAsia="Arial" w:hAnsi="Arial" w:cs="Arial"/>
          <w:sz w:val="22"/>
          <w:szCs w:val="22"/>
        </w:rPr>
        <w:t>une erreur stratégique</w:t>
      </w:r>
      <w:r w:rsidR="002755F9">
        <w:rPr>
          <w:rFonts w:ascii="Arial" w:eastAsia="Arial" w:hAnsi="Arial" w:cs="Arial"/>
          <w:sz w:val="22"/>
          <w:szCs w:val="22"/>
        </w:rPr>
        <w:t> »</w:t>
      </w:r>
      <w:r w:rsidRPr="00FD0261">
        <w:rPr>
          <w:rFonts w:ascii="Arial" w:eastAsia="Arial" w:hAnsi="Arial" w:cs="Arial"/>
          <w:sz w:val="22"/>
          <w:szCs w:val="22"/>
        </w:rPr>
        <w:t xml:space="preserve">, tout en déclarant </w:t>
      </w:r>
      <w:r w:rsidR="002755F9" w:rsidRPr="00FD0261">
        <w:rPr>
          <w:rFonts w:ascii="Arial" w:eastAsia="Arial" w:hAnsi="Arial" w:cs="Arial"/>
          <w:sz w:val="22"/>
          <w:szCs w:val="22"/>
        </w:rPr>
        <w:t>qu’«</w:t>
      </w:r>
      <w:r w:rsidR="002755F9">
        <w:rPr>
          <w:rFonts w:ascii="Arial" w:eastAsia="Arial" w:hAnsi="Arial" w:cs="Arial"/>
          <w:sz w:val="22"/>
          <w:szCs w:val="22"/>
        </w:rPr>
        <w:t> </w:t>
      </w:r>
      <w:r w:rsidRPr="00FD0261">
        <w:rPr>
          <w:rFonts w:ascii="Arial" w:eastAsia="Arial" w:hAnsi="Arial" w:cs="Arial"/>
          <w:sz w:val="22"/>
          <w:szCs w:val="22"/>
        </w:rPr>
        <w:t>une plateforme commune est la bonne chose à faire</w:t>
      </w:r>
      <w:r w:rsidR="002755F9">
        <w:rPr>
          <w:rFonts w:ascii="Arial" w:eastAsia="Arial" w:hAnsi="Arial" w:cs="Arial"/>
          <w:sz w:val="22"/>
          <w:szCs w:val="22"/>
        </w:rPr>
        <w:t> »</w:t>
      </w:r>
      <w:r w:rsidRPr="00FD0261">
        <w:rPr>
          <w:rFonts w:ascii="Arial" w:eastAsia="Arial" w:hAnsi="Arial" w:cs="Arial"/>
          <w:sz w:val="22"/>
          <w:szCs w:val="22"/>
        </w:rPr>
        <w:t xml:space="preserve">. Selon </w:t>
      </w:r>
      <w:hyperlink r:id="rId36" w:history="1">
        <w:r w:rsidRPr="002755F9">
          <w:rPr>
            <w:rStyle w:val="Hyperlink"/>
            <w:rFonts w:ascii="Arial" w:eastAsia="Arial" w:hAnsi="Arial" w:cs="Arial"/>
            <w:sz w:val="22"/>
            <w:szCs w:val="22"/>
          </w:rPr>
          <w:t>Deadline</w:t>
        </w:r>
      </w:hyperlink>
      <w:r w:rsidRPr="00FD0261">
        <w:rPr>
          <w:rFonts w:ascii="Arial" w:eastAsia="Arial" w:hAnsi="Arial" w:cs="Arial"/>
          <w:sz w:val="22"/>
          <w:szCs w:val="22"/>
        </w:rPr>
        <w:t xml:space="preserve">, Salto était une entreprise de streaming par abonnement entre France Télévisions, TF1 et M6 et a été dissoute en 2023 après avoir échoué à attirer des abonnés. De son côté, le patron sortant de M6, Nicolas de Tavernost, a appelé à </w:t>
      </w:r>
      <w:r w:rsidR="00025899">
        <w:rPr>
          <w:rFonts w:ascii="Arial" w:eastAsia="Arial" w:hAnsi="Arial" w:cs="Arial"/>
          <w:sz w:val="22"/>
          <w:szCs w:val="22"/>
        </w:rPr>
        <w:t>« </w:t>
      </w:r>
      <w:r w:rsidRPr="00FD0261">
        <w:rPr>
          <w:rFonts w:ascii="Arial" w:eastAsia="Arial" w:hAnsi="Arial" w:cs="Arial"/>
          <w:sz w:val="22"/>
          <w:szCs w:val="22"/>
        </w:rPr>
        <w:t>des mesures collectives pour développer les services de streaming</w:t>
      </w:r>
      <w:r w:rsidR="002755F9">
        <w:rPr>
          <w:rFonts w:ascii="Arial" w:eastAsia="Arial" w:hAnsi="Arial" w:cs="Arial"/>
          <w:sz w:val="22"/>
          <w:szCs w:val="22"/>
        </w:rPr>
        <w:t> »</w:t>
      </w:r>
      <w:r w:rsidRPr="00FD0261">
        <w:rPr>
          <w:rFonts w:ascii="Arial" w:eastAsia="Arial" w:hAnsi="Arial" w:cs="Arial"/>
          <w:sz w:val="22"/>
          <w:szCs w:val="22"/>
        </w:rPr>
        <w:t xml:space="preserve">, en ajoutant que le lancement de Freely a révélé que </w:t>
      </w:r>
      <w:r w:rsidR="002755F9">
        <w:rPr>
          <w:rFonts w:ascii="Arial" w:eastAsia="Arial" w:hAnsi="Arial" w:cs="Arial"/>
          <w:sz w:val="22"/>
          <w:szCs w:val="22"/>
        </w:rPr>
        <w:t>« </w:t>
      </w:r>
      <w:r w:rsidRPr="00FD0261">
        <w:rPr>
          <w:rFonts w:ascii="Arial" w:eastAsia="Arial" w:hAnsi="Arial" w:cs="Arial"/>
          <w:sz w:val="22"/>
          <w:szCs w:val="22"/>
        </w:rPr>
        <w:t>les Britanniques nous ont montré la voie, mais nous avons raté une étape</w:t>
      </w:r>
      <w:r w:rsidR="002755F9">
        <w:rPr>
          <w:rFonts w:ascii="Arial" w:eastAsia="Arial" w:hAnsi="Arial" w:cs="Arial"/>
          <w:sz w:val="22"/>
          <w:szCs w:val="22"/>
        </w:rPr>
        <w:t> »</w:t>
      </w:r>
      <w:r w:rsidRPr="00FD0261">
        <w:rPr>
          <w:rFonts w:ascii="Arial" w:eastAsia="Arial" w:hAnsi="Arial" w:cs="Arial"/>
          <w:sz w:val="22"/>
          <w:szCs w:val="22"/>
        </w:rPr>
        <w:t>.</w:t>
      </w:r>
    </w:p>
    <w:p w14:paraId="11B61DBA" w14:textId="39497F6C" w:rsidR="00B15D31" w:rsidRPr="00F64DFB" w:rsidRDefault="0025108E" w:rsidP="00F64DFB">
      <w:pPr>
        <w:spacing w:before="288" w:after="288" w:line="276" w:lineRule="auto"/>
        <w:ind w:left="426" w:right="714"/>
        <w:jc w:val="both"/>
        <w:rPr>
          <w:rFonts w:ascii="Arial" w:eastAsia="Arial" w:hAnsi="Arial" w:cs="Arial"/>
          <w:b/>
          <w:sz w:val="22"/>
          <w:szCs w:val="22"/>
        </w:rPr>
      </w:pPr>
      <w:r w:rsidRPr="00F64DFB">
        <w:rPr>
          <w:rFonts w:ascii="Arial" w:eastAsia="Arial" w:hAnsi="Arial" w:cs="Arial"/>
          <w:b/>
          <w:sz w:val="22"/>
          <w:szCs w:val="22"/>
        </w:rPr>
        <w:t>Des lectures supplémentaires pour le rapport d</w:t>
      </w:r>
      <w:r w:rsidR="00FD0261">
        <w:rPr>
          <w:rFonts w:ascii="Arial" w:eastAsia="Arial" w:hAnsi="Arial" w:cs="Arial"/>
          <w:b/>
          <w:sz w:val="22"/>
          <w:szCs w:val="22"/>
        </w:rPr>
        <w:t>’avril</w:t>
      </w:r>
      <w:r w:rsidR="00AA5D8E" w:rsidRPr="00F64DFB">
        <w:rPr>
          <w:rFonts w:ascii="Arial" w:eastAsia="Arial" w:hAnsi="Arial" w:cs="Arial"/>
          <w:b/>
          <w:sz w:val="22"/>
          <w:szCs w:val="22"/>
        </w:rPr>
        <w:t xml:space="preserve"> </w:t>
      </w:r>
      <w:r w:rsidRPr="00F64DFB">
        <w:rPr>
          <w:rFonts w:ascii="Arial" w:eastAsia="Arial" w:hAnsi="Arial" w:cs="Arial"/>
          <w:b/>
          <w:sz w:val="22"/>
          <w:szCs w:val="22"/>
        </w:rPr>
        <w:t xml:space="preserve">:  </w:t>
      </w:r>
    </w:p>
    <w:p w14:paraId="2FF69ECF" w14:textId="5DAE396C" w:rsidR="00FD0261" w:rsidRPr="00F04C53" w:rsidRDefault="00FD0261" w:rsidP="00FD0261">
      <w:pPr>
        <w:spacing w:before="288" w:after="288" w:line="276" w:lineRule="auto"/>
        <w:ind w:left="426" w:right="714"/>
        <w:jc w:val="both"/>
        <w:rPr>
          <w:rFonts w:ascii="Arial" w:eastAsia="Arial" w:hAnsi="Arial" w:cs="Arial"/>
          <w:sz w:val="22"/>
          <w:szCs w:val="22"/>
          <w:lang w:val="en-CA"/>
        </w:rPr>
      </w:pPr>
      <w:r>
        <w:rPr>
          <w:rFonts w:ascii="Arial" w:eastAsia="Arial" w:hAnsi="Arial" w:cs="Arial"/>
          <w:sz w:val="22"/>
          <w:szCs w:val="22"/>
          <w:lang w:val="en-CA"/>
        </w:rPr>
        <w:t>How Netflix survived the streaming wars to stay the subscription video king</w:t>
      </w:r>
      <w:r w:rsidRPr="00F04C53">
        <w:rPr>
          <w:rFonts w:ascii="Arial" w:eastAsia="Arial" w:hAnsi="Arial" w:cs="Arial"/>
          <w:sz w:val="22"/>
          <w:szCs w:val="22"/>
          <w:lang w:val="en-CA"/>
        </w:rPr>
        <w:t xml:space="preserve">, </w:t>
      </w:r>
      <w:r>
        <w:rPr>
          <w:rFonts w:ascii="Arial" w:eastAsia="Arial" w:hAnsi="Arial" w:cs="Arial"/>
          <w:i/>
          <w:sz w:val="22"/>
          <w:szCs w:val="22"/>
          <w:lang w:val="en-CA"/>
        </w:rPr>
        <w:t>Los Angeles Times</w:t>
      </w:r>
      <w:r w:rsidRPr="00F04C53">
        <w:rPr>
          <w:rFonts w:ascii="Arial" w:eastAsia="Arial" w:hAnsi="Arial" w:cs="Arial"/>
          <w:i/>
          <w:sz w:val="22"/>
          <w:szCs w:val="22"/>
          <w:lang w:val="en-CA"/>
        </w:rPr>
        <w:t xml:space="preserve">, </w:t>
      </w:r>
      <w:r>
        <w:rPr>
          <w:rFonts w:ascii="Arial" w:eastAsia="Arial" w:hAnsi="Arial" w:cs="Arial"/>
          <w:sz w:val="22"/>
          <w:szCs w:val="22"/>
          <w:lang w:val="en-CA"/>
        </w:rPr>
        <w:t>6</w:t>
      </w:r>
      <w:r w:rsidRPr="00F04C53">
        <w:rPr>
          <w:rFonts w:ascii="Arial" w:eastAsia="Arial" w:hAnsi="Arial" w:cs="Arial"/>
          <w:sz w:val="22"/>
          <w:szCs w:val="22"/>
          <w:lang w:val="en-CA"/>
        </w:rPr>
        <w:t xml:space="preserve"> </w:t>
      </w:r>
      <w:r w:rsidR="00346DB1">
        <w:rPr>
          <w:rFonts w:ascii="Arial" w:eastAsia="Arial" w:hAnsi="Arial" w:cs="Arial"/>
          <w:sz w:val="22"/>
          <w:szCs w:val="22"/>
          <w:lang w:val="en-CA"/>
        </w:rPr>
        <w:t>mars</w:t>
      </w:r>
      <w:r w:rsidRPr="00F04C53">
        <w:rPr>
          <w:rFonts w:ascii="Arial" w:eastAsia="Arial" w:hAnsi="Arial" w:cs="Arial"/>
          <w:sz w:val="22"/>
          <w:szCs w:val="22"/>
          <w:lang w:val="en-CA"/>
        </w:rPr>
        <w:t xml:space="preserve"> 2024, </w:t>
      </w:r>
      <w:hyperlink r:id="rId37" w:history="1">
        <w:r w:rsidR="00346DB1">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396F3D54" w14:textId="68FBD047" w:rsidR="008A1923" w:rsidRPr="00FD0261" w:rsidRDefault="00FD0261" w:rsidP="00FD0261">
      <w:pPr>
        <w:spacing w:before="288" w:after="288" w:line="276" w:lineRule="auto"/>
        <w:ind w:left="426" w:right="714"/>
        <w:jc w:val="both"/>
        <w:rPr>
          <w:rFonts w:ascii="Arial" w:eastAsia="Arial" w:hAnsi="Arial" w:cs="Arial"/>
          <w:sz w:val="22"/>
          <w:szCs w:val="22"/>
          <w:u w:val="single"/>
          <w:lang w:val="en-CA"/>
        </w:rPr>
      </w:pPr>
      <w:r>
        <w:rPr>
          <w:rFonts w:ascii="Arial" w:eastAsia="Arial" w:hAnsi="Arial" w:cs="Arial"/>
          <w:sz w:val="22"/>
          <w:szCs w:val="22"/>
          <w:lang w:val="en-CA"/>
        </w:rPr>
        <w:t>Why Series Mania has grown so big</w:t>
      </w:r>
      <w:r w:rsidRPr="00F04C53">
        <w:rPr>
          <w:rFonts w:ascii="Arial" w:eastAsia="Arial" w:hAnsi="Arial" w:cs="Arial"/>
          <w:sz w:val="22"/>
          <w:szCs w:val="22"/>
          <w:lang w:val="en-CA"/>
        </w:rPr>
        <w:t xml:space="preserve">, </w:t>
      </w:r>
      <w:r>
        <w:rPr>
          <w:rFonts w:ascii="Arial" w:eastAsia="Arial" w:hAnsi="Arial" w:cs="Arial"/>
          <w:i/>
          <w:sz w:val="22"/>
          <w:szCs w:val="22"/>
          <w:lang w:val="en-CA"/>
        </w:rPr>
        <w:t>Variety</w:t>
      </w:r>
      <w:r w:rsidRPr="00F04C53">
        <w:rPr>
          <w:rFonts w:ascii="Arial" w:eastAsia="Arial" w:hAnsi="Arial" w:cs="Arial"/>
          <w:i/>
          <w:sz w:val="22"/>
          <w:szCs w:val="22"/>
          <w:lang w:val="en-CA"/>
        </w:rPr>
        <w:t xml:space="preserve">, </w:t>
      </w:r>
      <w:r>
        <w:rPr>
          <w:rFonts w:ascii="Arial" w:eastAsia="Arial" w:hAnsi="Arial" w:cs="Arial"/>
          <w:sz w:val="22"/>
          <w:szCs w:val="22"/>
          <w:lang w:val="en-CA"/>
        </w:rPr>
        <w:t>15</w:t>
      </w:r>
      <w:r w:rsidRPr="00F04C53">
        <w:rPr>
          <w:rFonts w:ascii="Arial" w:eastAsia="Arial" w:hAnsi="Arial" w:cs="Arial"/>
          <w:sz w:val="22"/>
          <w:szCs w:val="22"/>
          <w:lang w:val="en-CA"/>
        </w:rPr>
        <w:t xml:space="preserve"> </w:t>
      </w:r>
      <w:r w:rsidR="00346DB1">
        <w:rPr>
          <w:rFonts w:ascii="Arial" w:eastAsia="Arial" w:hAnsi="Arial" w:cs="Arial"/>
          <w:sz w:val="22"/>
          <w:szCs w:val="22"/>
          <w:lang w:val="en-CA"/>
        </w:rPr>
        <w:t>mars</w:t>
      </w:r>
      <w:r w:rsidRPr="00F04C53">
        <w:rPr>
          <w:rFonts w:ascii="Arial" w:eastAsia="Arial" w:hAnsi="Arial" w:cs="Arial"/>
          <w:sz w:val="22"/>
          <w:szCs w:val="22"/>
          <w:lang w:val="en-CA"/>
        </w:rPr>
        <w:t xml:space="preserve"> 2024, </w:t>
      </w:r>
      <w:hyperlink r:id="rId38" w:history="1">
        <w:r w:rsidR="00346DB1">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0E8FC5DF" w14:textId="34655975" w:rsidR="00B15D31" w:rsidRPr="00B0326E" w:rsidRDefault="0025108E" w:rsidP="00F64DFB">
      <w:pPr>
        <w:spacing w:before="288" w:after="288" w:line="276" w:lineRule="auto"/>
        <w:ind w:left="426" w:right="714"/>
        <w:jc w:val="both"/>
        <w:rPr>
          <w:rFonts w:ascii="Arial" w:eastAsia="Arial" w:hAnsi="Arial" w:cs="Arial"/>
          <w:sz w:val="22"/>
          <w:szCs w:val="22"/>
          <w:lang w:val="fr-FR"/>
        </w:rPr>
      </w:pPr>
      <w:r w:rsidRPr="00B0326E">
        <w:rPr>
          <w:rFonts w:ascii="Arial" w:eastAsia="Arial" w:hAnsi="Arial" w:cs="Arial"/>
          <w:b/>
          <w:sz w:val="22"/>
          <w:szCs w:val="22"/>
          <w:lang w:val="fr-FR"/>
        </w:rPr>
        <w:t>Sources indicatives</w:t>
      </w:r>
    </w:p>
    <w:p w14:paraId="4E122179" w14:textId="57E34F56" w:rsidR="00346DB1" w:rsidRPr="00D470B9" w:rsidRDefault="00346DB1" w:rsidP="00346DB1">
      <w:pPr>
        <w:numPr>
          <w:ilvl w:val="0"/>
          <w:numId w:val="5"/>
        </w:numPr>
        <w:pBdr>
          <w:top w:val="nil"/>
          <w:left w:val="nil"/>
          <w:bottom w:val="nil"/>
          <w:right w:val="nil"/>
          <w:between w:val="nil"/>
        </w:pBdr>
        <w:spacing w:before="360"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Apple plans to appeal European Commission’s massive antitrust fine favoring Spotify</w:t>
      </w:r>
      <w:r w:rsidRPr="00F04C53">
        <w:rPr>
          <w:rFonts w:ascii="Arial" w:eastAsia="Arial" w:hAnsi="Arial" w:cs="Arial"/>
          <w:i/>
          <w:iCs/>
          <w:sz w:val="22"/>
          <w:szCs w:val="22"/>
          <w:lang w:val="en-CA"/>
        </w:rPr>
        <w:t xml:space="preserve">, </w:t>
      </w:r>
      <w:r>
        <w:rPr>
          <w:rFonts w:ascii="Arial" w:eastAsia="Arial" w:hAnsi="Arial" w:cs="Arial"/>
          <w:i/>
          <w:iCs/>
          <w:sz w:val="22"/>
          <w:szCs w:val="22"/>
          <w:lang w:val="en-CA"/>
        </w:rPr>
        <w:t>TechCrunch</w:t>
      </w:r>
      <w:r w:rsidRPr="00F04C53">
        <w:rPr>
          <w:rFonts w:ascii="Arial" w:eastAsia="Arial" w:hAnsi="Arial" w:cs="Arial"/>
          <w:i/>
          <w:iCs/>
          <w:sz w:val="22"/>
          <w:szCs w:val="22"/>
          <w:lang w:val="en-CA"/>
        </w:rPr>
        <w:t xml:space="preserve">, </w:t>
      </w:r>
      <w:r>
        <w:rPr>
          <w:rFonts w:ascii="Arial" w:eastAsia="Arial" w:hAnsi="Arial" w:cs="Arial"/>
          <w:sz w:val="22"/>
          <w:szCs w:val="22"/>
          <w:lang w:val="en-CA"/>
        </w:rPr>
        <w:t>4</w:t>
      </w:r>
      <w:r w:rsidRPr="00F04C53">
        <w:rPr>
          <w:rFonts w:ascii="Arial" w:eastAsia="Arial" w:hAnsi="Arial" w:cs="Arial"/>
          <w:sz w:val="22"/>
          <w:szCs w:val="22"/>
          <w:lang w:val="en-CA"/>
        </w:rPr>
        <w:t xml:space="preserve"> </w:t>
      </w:r>
      <w:r>
        <w:rPr>
          <w:rFonts w:ascii="Arial" w:eastAsia="Arial" w:hAnsi="Arial" w:cs="Arial"/>
          <w:sz w:val="22"/>
          <w:szCs w:val="22"/>
          <w:lang w:val="en-CA"/>
        </w:rPr>
        <w:t>mars</w:t>
      </w:r>
      <w:r w:rsidRPr="00F04C53">
        <w:rPr>
          <w:rFonts w:ascii="Arial" w:eastAsia="Arial" w:hAnsi="Arial" w:cs="Arial"/>
          <w:sz w:val="22"/>
          <w:szCs w:val="22"/>
          <w:lang w:val="en-CA"/>
        </w:rPr>
        <w:t xml:space="preserve"> 202</w:t>
      </w:r>
      <w:r>
        <w:rPr>
          <w:rFonts w:ascii="Arial" w:eastAsia="Arial" w:hAnsi="Arial" w:cs="Arial"/>
          <w:sz w:val="22"/>
          <w:szCs w:val="22"/>
          <w:lang w:val="en-CA"/>
        </w:rPr>
        <w:t>4</w:t>
      </w:r>
      <w:r w:rsidRPr="00D470B9">
        <w:rPr>
          <w:rFonts w:ascii="Arial" w:eastAsia="Arial" w:hAnsi="Arial" w:cs="Arial"/>
          <w:sz w:val="22"/>
          <w:szCs w:val="22"/>
          <w:lang w:val="en-CA"/>
        </w:rPr>
        <w:t xml:space="preserve">, </w:t>
      </w:r>
      <w:hyperlink r:id="rId39" w:history="1">
        <w:r w:rsidRPr="00994DB8">
          <w:rPr>
            <w:rStyle w:val="Hyperlink"/>
            <w:rFonts w:ascii="Arial" w:hAnsi="Arial" w:cs="Arial"/>
            <w:color w:val="4472C4" w:themeColor="accent1"/>
            <w:sz w:val="22"/>
            <w:szCs w:val="22"/>
            <w:lang w:val="en-CA"/>
          </w:rPr>
          <w:t>Lien.</w:t>
        </w:r>
      </w:hyperlink>
    </w:p>
    <w:p w14:paraId="289AFCEB" w14:textId="5EBE18E7" w:rsidR="00346DB1" w:rsidRPr="00F04C53" w:rsidRDefault="00346DB1" w:rsidP="00346DB1">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sz w:val="22"/>
          <w:szCs w:val="22"/>
          <w:lang w:val="en-CA"/>
        </w:rPr>
      </w:pPr>
      <w:r>
        <w:rPr>
          <w:rFonts w:ascii="Arial" w:eastAsia="Arial" w:hAnsi="Arial" w:cs="Arial"/>
          <w:sz w:val="22"/>
          <w:szCs w:val="22"/>
          <w:lang w:val="en-CA"/>
        </w:rPr>
        <w:t>30% of SVOD viewing time goes to content from the European Union plus UK</w:t>
      </w:r>
      <w:r w:rsidRPr="00F04C53">
        <w:rPr>
          <w:rFonts w:ascii="Arial" w:eastAsia="Arial" w:hAnsi="Arial" w:cs="Arial"/>
          <w:sz w:val="22"/>
          <w:szCs w:val="22"/>
          <w:lang w:val="en-CA"/>
        </w:rPr>
        <w:t xml:space="preserve">, </w:t>
      </w:r>
      <w:r>
        <w:rPr>
          <w:rFonts w:ascii="Arial" w:eastAsia="Arial" w:hAnsi="Arial" w:cs="Arial"/>
          <w:i/>
          <w:iCs/>
          <w:sz w:val="22"/>
          <w:szCs w:val="22"/>
          <w:lang w:val="en-CA"/>
        </w:rPr>
        <w:t>EAO</w:t>
      </w:r>
      <w:r w:rsidRPr="00F04C53">
        <w:rPr>
          <w:rFonts w:ascii="Arial" w:eastAsia="Arial" w:hAnsi="Arial" w:cs="Arial"/>
          <w:i/>
          <w:iCs/>
          <w:sz w:val="22"/>
          <w:szCs w:val="22"/>
          <w:lang w:val="en-CA"/>
        </w:rPr>
        <w:t xml:space="preserve">, </w:t>
      </w:r>
      <w:r>
        <w:rPr>
          <w:rFonts w:ascii="Arial" w:eastAsia="Arial" w:hAnsi="Arial" w:cs="Arial"/>
          <w:sz w:val="22"/>
          <w:szCs w:val="22"/>
          <w:lang w:val="en-CA"/>
        </w:rPr>
        <w:t>28</w:t>
      </w:r>
      <w:r w:rsidRPr="00F04C53">
        <w:rPr>
          <w:rFonts w:ascii="Arial" w:eastAsia="Arial" w:hAnsi="Arial" w:cs="Arial"/>
          <w:sz w:val="22"/>
          <w:szCs w:val="22"/>
          <w:lang w:val="en-CA"/>
        </w:rPr>
        <w:t xml:space="preserve"> </w:t>
      </w:r>
      <w:r>
        <w:rPr>
          <w:rFonts w:ascii="Arial" w:eastAsia="Arial" w:hAnsi="Arial" w:cs="Arial"/>
          <w:sz w:val="22"/>
          <w:szCs w:val="22"/>
          <w:lang w:val="en-CA"/>
        </w:rPr>
        <w:t>mars</w:t>
      </w:r>
      <w:r w:rsidRPr="00F04C53">
        <w:rPr>
          <w:rFonts w:ascii="Arial" w:eastAsia="Arial" w:hAnsi="Arial" w:cs="Arial"/>
          <w:sz w:val="22"/>
          <w:szCs w:val="22"/>
          <w:lang w:val="en-CA"/>
        </w:rPr>
        <w:t xml:space="preserve"> 2024, </w:t>
      </w:r>
      <w:hyperlink r:id="rId40" w:history="1">
        <w:r>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5CE594AB" w14:textId="010FD664" w:rsidR="00346DB1" w:rsidRPr="00F04C53" w:rsidRDefault="00346DB1" w:rsidP="00346DB1">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lastRenderedPageBreak/>
        <w:t>AI Act’s global effects might be overstated, experts say</w:t>
      </w:r>
      <w:r w:rsidRPr="00F04C53">
        <w:rPr>
          <w:rFonts w:ascii="Arial" w:eastAsia="Arial" w:hAnsi="Arial" w:cs="Arial"/>
          <w:sz w:val="22"/>
          <w:szCs w:val="22"/>
          <w:lang w:val="en-CA"/>
        </w:rPr>
        <w:t xml:space="preserve">, </w:t>
      </w:r>
      <w:r>
        <w:rPr>
          <w:rFonts w:ascii="Arial" w:eastAsia="Arial" w:hAnsi="Arial" w:cs="Arial"/>
          <w:i/>
          <w:iCs/>
          <w:sz w:val="22"/>
          <w:szCs w:val="22"/>
          <w:lang w:val="en-CA"/>
        </w:rPr>
        <w:t>EURACTIV</w:t>
      </w:r>
      <w:r w:rsidRPr="00F04C53">
        <w:rPr>
          <w:rFonts w:ascii="Arial" w:eastAsia="Arial" w:hAnsi="Arial" w:cs="Arial"/>
          <w:i/>
          <w:iCs/>
          <w:sz w:val="22"/>
          <w:szCs w:val="22"/>
          <w:lang w:val="en-CA"/>
        </w:rPr>
        <w:t xml:space="preserve">, </w:t>
      </w:r>
      <w:r>
        <w:rPr>
          <w:rFonts w:ascii="Arial" w:eastAsia="Arial" w:hAnsi="Arial" w:cs="Arial"/>
          <w:sz w:val="22"/>
          <w:szCs w:val="22"/>
          <w:lang w:val="en-CA"/>
        </w:rPr>
        <w:t>21</w:t>
      </w:r>
      <w:r w:rsidRPr="00F04C53">
        <w:rPr>
          <w:rFonts w:ascii="Arial" w:eastAsia="Arial" w:hAnsi="Arial" w:cs="Arial"/>
          <w:sz w:val="22"/>
          <w:szCs w:val="22"/>
          <w:lang w:val="en-CA"/>
        </w:rPr>
        <w:t xml:space="preserve"> </w:t>
      </w:r>
      <w:r>
        <w:rPr>
          <w:rFonts w:ascii="Arial" w:eastAsia="Arial" w:hAnsi="Arial" w:cs="Arial"/>
          <w:sz w:val="22"/>
          <w:szCs w:val="22"/>
          <w:lang w:val="en-CA"/>
        </w:rPr>
        <w:t>mars</w:t>
      </w:r>
      <w:r w:rsidRPr="00F04C53">
        <w:rPr>
          <w:rFonts w:ascii="Arial" w:eastAsia="Arial" w:hAnsi="Arial" w:cs="Arial"/>
          <w:sz w:val="22"/>
          <w:szCs w:val="22"/>
          <w:lang w:val="en-CA"/>
        </w:rPr>
        <w:t xml:space="preserve"> 2024, </w:t>
      </w:r>
      <w:hyperlink r:id="rId41" w:history="1">
        <w:r>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6E854108" w14:textId="6E7251B4" w:rsidR="00346DB1" w:rsidRPr="00F04C53" w:rsidRDefault="00346DB1" w:rsidP="00346DB1">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sz w:val="22"/>
          <w:szCs w:val="22"/>
          <w:lang w:val="en-CA"/>
        </w:rPr>
      </w:pPr>
      <w:r>
        <w:rPr>
          <w:rFonts w:ascii="Arial" w:eastAsia="Arial" w:hAnsi="Arial" w:cs="Arial"/>
          <w:sz w:val="22"/>
          <w:szCs w:val="22"/>
          <w:lang w:val="en-CA"/>
        </w:rPr>
        <w:t>IFPI Global Music Report: Global Recorded Music Revenues Grew 10.2% in 2023</w:t>
      </w:r>
      <w:r w:rsidRPr="00F04C53">
        <w:rPr>
          <w:rFonts w:ascii="Arial" w:eastAsia="Arial" w:hAnsi="Arial" w:cs="Arial"/>
          <w:sz w:val="22"/>
          <w:szCs w:val="22"/>
          <w:lang w:val="en-CA"/>
        </w:rPr>
        <w:t xml:space="preserve">, </w:t>
      </w:r>
      <w:r>
        <w:rPr>
          <w:rFonts w:ascii="Arial" w:eastAsia="Arial" w:hAnsi="Arial" w:cs="Arial"/>
          <w:i/>
          <w:iCs/>
          <w:sz w:val="22"/>
          <w:szCs w:val="22"/>
          <w:lang w:val="en-CA"/>
        </w:rPr>
        <w:t>IFPI</w:t>
      </w:r>
      <w:r w:rsidRPr="00F04C53">
        <w:rPr>
          <w:rFonts w:ascii="Arial" w:eastAsia="Arial" w:hAnsi="Arial" w:cs="Arial"/>
          <w:i/>
          <w:iCs/>
          <w:sz w:val="22"/>
          <w:szCs w:val="22"/>
          <w:lang w:val="en-CA"/>
        </w:rPr>
        <w:t xml:space="preserve">, </w:t>
      </w:r>
      <w:r w:rsidRPr="00F04C53">
        <w:rPr>
          <w:rFonts w:ascii="Arial" w:eastAsia="Arial" w:hAnsi="Arial" w:cs="Arial"/>
          <w:sz w:val="22"/>
          <w:szCs w:val="22"/>
          <w:lang w:val="en-CA"/>
        </w:rPr>
        <w:t>2</w:t>
      </w:r>
      <w:r>
        <w:rPr>
          <w:rFonts w:ascii="Arial" w:eastAsia="Arial" w:hAnsi="Arial" w:cs="Arial"/>
          <w:sz w:val="22"/>
          <w:szCs w:val="22"/>
          <w:lang w:val="en-CA"/>
        </w:rPr>
        <w:t>1</w:t>
      </w:r>
      <w:r w:rsidRPr="00F04C53">
        <w:rPr>
          <w:rFonts w:ascii="Arial" w:eastAsia="Arial" w:hAnsi="Arial" w:cs="Arial"/>
          <w:sz w:val="22"/>
          <w:szCs w:val="22"/>
          <w:lang w:val="en-CA"/>
        </w:rPr>
        <w:t xml:space="preserve"> </w:t>
      </w:r>
      <w:r>
        <w:rPr>
          <w:rFonts w:ascii="Arial" w:eastAsia="Arial" w:hAnsi="Arial" w:cs="Arial"/>
          <w:sz w:val="22"/>
          <w:szCs w:val="22"/>
          <w:lang w:val="en-CA"/>
        </w:rPr>
        <w:t>mars</w:t>
      </w:r>
      <w:r w:rsidRPr="00F04C53">
        <w:rPr>
          <w:rFonts w:ascii="Arial" w:eastAsia="Arial" w:hAnsi="Arial" w:cs="Arial"/>
          <w:sz w:val="22"/>
          <w:szCs w:val="22"/>
          <w:lang w:val="en-CA"/>
        </w:rPr>
        <w:t xml:space="preserve"> 2024, </w:t>
      </w:r>
      <w:hyperlink r:id="rId42" w:history="1">
        <w:r>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091CB2BE" w14:textId="48407C08" w:rsidR="00346DB1" w:rsidRPr="009D2613" w:rsidRDefault="00346DB1" w:rsidP="00346DB1">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BBC studios buys ITV’s stake in streamer BritBox for 322 millions USD</w:t>
      </w:r>
      <w:r w:rsidRPr="00F04C53">
        <w:rPr>
          <w:rFonts w:ascii="Arial" w:eastAsia="Arial" w:hAnsi="Arial" w:cs="Arial"/>
          <w:sz w:val="22"/>
          <w:szCs w:val="22"/>
          <w:lang w:val="en-CA"/>
        </w:rPr>
        <w:t xml:space="preserve">, </w:t>
      </w:r>
      <w:r w:rsidRPr="00F04C53">
        <w:rPr>
          <w:rFonts w:ascii="Arial" w:eastAsia="Arial" w:hAnsi="Arial" w:cs="Arial"/>
          <w:i/>
          <w:iCs/>
          <w:sz w:val="22"/>
          <w:szCs w:val="22"/>
          <w:lang w:val="en-CA"/>
        </w:rPr>
        <w:t xml:space="preserve">Reuters, </w:t>
      </w:r>
      <w:r w:rsidRPr="00F04C53">
        <w:rPr>
          <w:rFonts w:ascii="Arial" w:eastAsia="Arial" w:hAnsi="Arial" w:cs="Arial"/>
          <w:sz w:val="22"/>
          <w:szCs w:val="22"/>
          <w:lang w:val="en-CA"/>
        </w:rPr>
        <w:t>2</w:t>
      </w:r>
      <w:r>
        <w:rPr>
          <w:rFonts w:ascii="Arial" w:eastAsia="Arial" w:hAnsi="Arial" w:cs="Arial"/>
          <w:sz w:val="22"/>
          <w:szCs w:val="22"/>
          <w:lang w:val="en-CA"/>
        </w:rPr>
        <w:t>9</w:t>
      </w:r>
      <w:r w:rsidRPr="00F04C53">
        <w:rPr>
          <w:rFonts w:ascii="Arial" w:eastAsia="Arial" w:hAnsi="Arial" w:cs="Arial"/>
          <w:sz w:val="22"/>
          <w:szCs w:val="22"/>
          <w:lang w:val="en-CA"/>
        </w:rPr>
        <w:t xml:space="preserve"> </w:t>
      </w:r>
      <w:r>
        <w:rPr>
          <w:rFonts w:ascii="Arial" w:eastAsia="Arial" w:hAnsi="Arial" w:cs="Arial"/>
          <w:sz w:val="22"/>
          <w:szCs w:val="22"/>
          <w:lang w:val="en-CA"/>
        </w:rPr>
        <w:t>février</w:t>
      </w:r>
      <w:r w:rsidRPr="00F04C53">
        <w:rPr>
          <w:rFonts w:ascii="Arial" w:eastAsia="Arial" w:hAnsi="Arial" w:cs="Arial"/>
          <w:sz w:val="22"/>
          <w:szCs w:val="22"/>
          <w:lang w:val="en-CA"/>
        </w:rPr>
        <w:t xml:space="preserve"> 2024, </w:t>
      </w:r>
      <w:hyperlink r:id="rId43" w:history="1">
        <w:r>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2D01C69E" w14:textId="2A6B722B" w:rsidR="00346DB1" w:rsidRDefault="00346DB1" w:rsidP="00346DB1">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BBC, ITV, Channel 4, Channel 5-backed free streaming service Freely sets second quarter launch, </w:t>
      </w:r>
      <w:r>
        <w:rPr>
          <w:rFonts w:ascii="Arial" w:eastAsia="Arial" w:hAnsi="Arial" w:cs="Arial"/>
          <w:i/>
          <w:sz w:val="22"/>
          <w:szCs w:val="22"/>
          <w:lang w:val="en-CA"/>
        </w:rPr>
        <w:t xml:space="preserve">Variety, </w:t>
      </w:r>
      <w:r>
        <w:rPr>
          <w:rFonts w:ascii="Arial" w:eastAsia="Arial" w:hAnsi="Arial" w:cs="Arial"/>
          <w:sz w:val="22"/>
          <w:szCs w:val="22"/>
          <w:lang w:val="en-CA"/>
        </w:rPr>
        <w:t xml:space="preserve">5 février 2024, </w:t>
      </w:r>
      <w:hyperlink r:id="rId44" w:history="1">
        <w:r>
          <w:rPr>
            <w:rStyle w:val="Hyperlink"/>
            <w:rFonts w:ascii="Arial" w:hAnsi="Arial" w:cs="Arial"/>
            <w:sz w:val="22"/>
            <w:szCs w:val="22"/>
            <w:lang w:val="en-CA"/>
          </w:rPr>
          <w:t>Lien</w:t>
        </w:r>
        <w:r w:rsidRPr="009D2613">
          <w:rPr>
            <w:rStyle w:val="Hyperlink"/>
            <w:rFonts w:ascii="Arial" w:hAnsi="Arial" w:cs="Arial"/>
            <w:sz w:val="22"/>
            <w:szCs w:val="22"/>
            <w:lang w:val="en-CA"/>
          </w:rPr>
          <w:t>.</w:t>
        </w:r>
      </w:hyperlink>
    </w:p>
    <w:p w14:paraId="382D5997" w14:textId="4C69CA6C" w:rsidR="00346DB1" w:rsidRPr="009718F8" w:rsidRDefault="00346DB1" w:rsidP="00346DB1">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 xml:space="preserve">The Disney Plus-Hulu merger is way more than a streaming bundle, </w:t>
      </w:r>
      <w:r>
        <w:rPr>
          <w:rFonts w:ascii="Arial" w:eastAsia="Arial" w:hAnsi="Arial" w:cs="Arial"/>
          <w:i/>
          <w:sz w:val="22"/>
          <w:szCs w:val="22"/>
          <w:lang w:val="en-CA"/>
        </w:rPr>
        <w:t xml:space="preserve">The Verge, </w:t>
      </w:r>
      <w:r>
        <w:rPr>
          <w:rFonts w:ascii="Arial" w:eastAsia="Arial" w:hAnsi="Arial" w:cs="Arial"/>
          <w:sz w:val="22"/>
          <w:szCs w:val="22"/>
          <w:lang w:val="en-CA"/>
        </w:rPr>
        <w:t xml:space="preserve">27 mars 2024, </w:t>
      </w:r>
      <w:hyperlink r:id="rId45" w:history="1">
        <w:r>
          <w:rPr>
            <w:rStyle w:val="Hyperlink"/>
            <w:rFonts w:ascii="Arial" w:hAnsi="Arial" w:cs="Arial"/>
            <w:sz w:val="22"/>
            <w:szCs w:val="22"/>
            <w:lang w:val="en-CA"/>
          </w:rPr>
          <w:t>Lien</w:t>
        </w:r>
        <w:r w:rsidRPr="009D2613">
          <w:rPr>
            <w:rStyle w:val="Hyperlink"/>
            <w:rFonts w:ascii="Arial" w:hAnsi="Arial" w:cs="Arial"/>
            <w:sz w:val="22"/>
            <w:szCs w:val="22"/>
            <w:lang w:val="en-CA"/>
          </w:rPr>
          <w:t>.</w:t>
        </w:r>
      </w:hyperlink>
    </w:p>
    <w:p w14:paraId="707908E0" w14:textId="77777777" w:rsidR="009718F8" w:rsidRDefault="009718F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D2A1EF1"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AAE3D3A"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396D7053"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2337C097"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483FAC45"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74CFC547"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08749015" w14:textId="77777777" w:rsidR="006F2FF0" w:rsidRPr="009D2613"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461868D" w14:textId="77777777" w:rsidR="00B15D31" w:rsidRPr="00D73A36" w:rsidRDefault="00B15D31" w:rsidP="00F64DFB">
      <w:pPr>
        <w:pBdr>
          <w:top w:val="nil"/>
          <w:left w:val="nil"/>
          <w:bottom w:val="nil"/>
          <w:right w:val="nil"/>
          <w:between w:val="nil"/>
        </w:pBdr>
        <w:spacing w:line="276" w:lineRule="auto"/>
        <w:ind w:left="851" w:right="856"/>
        <w:jc w:val="both"/>
        <w:rPr>
          <w:rFonts w:ascii="Arial" w:eastAsia="Arial" w:hAnsi="Arial" w:cs="Arial"/>
          <w:sz w:val="22"/>
          <w:szCs w:val="22"/>
          <w:lang w:val="en-US"/>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64DFB" w:rsidRPr="00F64DFB" w14:paraId="57784668" w14:textId="77777777">
        <w:trPr>
          <w:trHeight w:val="2259"/>
        </w:trPr>
        <w:tc>
          <w:tcPr>
            <w:tcW w:w="9350" w:type="dxa"/>
            <w:shd w:val="clear" w:color="auto" w:fill="FBE5D5"/>
          </w:tcPr>
          <w:p w14:paraId="2677F298" w14:textId="77777777" w:rsidR="00B15D31" w:rsidRPr="00F64DFB" w:rsidRDefault="0025108E" w:rsidP="00F64DFB">
            <w:pPr>
              <w:spacing w:line="276" w:lineRule="auto"/>
              <w:jc w:val="both"/>
              <w:rPr>
                <w:rFonts w:ascii="Arial" w:eastAsia="Arial" w:hAnsi="Arial" w:cs="Arial"/>
                <w:sz w:val="32"/>
                <w:szCs w:val="32"/>
              </w:rPr>
            </w:pPr>
            <w:r w:rsidRPr="00F64DFB">
              <w:rPr>
                <w:rFonts w:ascii="Arial" w:eastAsia="Arial" w:hAnsi="Arial" w:cs="Arial"/>
                <w:sz w:val="32"/>
                <w:szCs w:val="32"/>
              </w:rPr>
              <w:t xml:space="preserve">Direction </w:t>
            </w:r>
          </w:p>
          <w:p w14:paraId="62A28656" w14:textId="77777777" w:rsidR="00B15D31" w:rsidRPr="00F64DFB" w:rsidRDefault="0025108E" w:rsidP="00F64DFB">
            <w:pPr>
              <w:spacing w:line="276" w:lineRule="auto"/>
              <w:jc w:val="both"/>
              <w:rPr>
                <w:rFonts w:ascii="Arial" w:eastAsia="Arial" w:hAnsi="Arial" w:cs="Arial"/>
              </w:rPr>
            </w:pPr>
            <w:r w:rsidRPr="00F64DFB">
              <w:rPr>
                <w:rFonts w:ascii="Arial" w:eastAsia="Arial" w:hAnsi="Arial" w:cs="Arial"/>
                <w:b/>
              </w:rPr>
              <w:t>Gilbert Gagné</w:t>
            </w:r>
            <w:r w:rsidRPr="00F64DFB">
              <w:rPr>
                <w:rFonts w:ascii="Arial" w:eastAsia="Arial" w:hAnsi="Arial" w:cs="Arial"/>
              </w:rPr>
              <w:t xml:space="preserve">, </w:t>
            </w:r>
            <w:r w:rsidRPr="00F64DFB">
              <w:rPr>
                <w:rFonts w:ascii="Arial" w:eastAsia="Arial" w:hAnsi="Arial" w:cs="Arial"/>
                <w:sz w:val="19"/>
                <w:szCs w:val="19"/>
              </w:rPr>
              <w:t>chercheur au CEIM et directeur du Groupe de recherche sur l’intégration continentale (GRIC).</w:t>
            </w:r>
          </w:p>
          <w:p w14:paraId="10087846" w14:textId="77777777" w:rsidR="00B15D31" w:rsidRPr="00F64DFB" w:rsidRDefault="00B15D31" w:rsidP="00F64DFB">
            <w:pPr>
              <w:spacing w:line="276" w:lineRule="auto"/>
              <w:ind w:right="-6"/>
              <w:jc w:val="both"/>
              <w:rPr>
                <w:rFonts w:ascii="Arial" w:eastAsia="Arial" w:hAnsi="Arial" w:cs="Arial"/>
                <w:sz w:val="32"/>
                <w:szCs w:val="32"/>
              </w:rPr>
            </w:pPr>
          </w:p>
          <w:p w14:paraId="2FFABF8A" w14:textId="77777777"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sz w:val="32"/>
                <w:szCs w:val="32"/>
              </w:rPr>
              <w:t>Rédaction</w:t>
            </w:r>
          </w:p>
          <w:p w14:paraId="4192EE1E" w14:textId="194C85D1"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b/>
              </w:rPr>
              <w:t>Antonios Vlassis</w:t>
            </w:r>
            <w:r w:rsidRPr="00F64DFB">
              <w:rPr>
                <w:rFonts w:ascii="Arial" w:eastAsia="Arial" w:hAnsi="Arial" w:cs="Arial"/>
              </w:rPr>
              <w:t>,</w:t>
            </w:r>
            <w:r w:rsidRPr="00F64DFB">
              <w:rPr>
                <w:rFonts w:ascii="Arial" w:eastAsia="Arial" w:hAnsi="Arial" w:cs="Arial"/>
                <w:sz w:val="19"/>
                <w:szCs w:val="19"/>
              </w:rPr>
              <w:t xml:space="preserve"> </w:t>
            </w:r>
            <w:r w:rsidR="00857BEC" w:rsidRPr="00F64DFB">
              <w:rPr>
                <w:rFonts w:ascii="Arial" w:eastAsia="Arial" w:hAnsi="Arial" w:cs="Arial"/>
                <w:sz w:val="19"/>
                <w:szCs w:val="19"/>
              </w:rPr>
              <w:t>professeur associé</w:t>
            </w:r>
            <w:r w:rsidRPr="00F64DFB">
              <w:rPr>
                <w:rFonts w:ascii="Arial" w:eastAsia="Arial" w:hAnsi="Arial" w:cs="Arial"/>
                <w:sz w:val="19"/>
                <w:szCs w:val="19"/>
              </w:rPr>
              <w:t xml:space="preserve"> et chercheur, Center for International Relations Studies (CEFIR)-Département de Science Politique, Université de Liège, membre au CEIM, </w:t>
            </w:r>
            <w:hyperlink r:id="rId46">
              <w:r w:rsidRPr="00F64DFB">
                <w:rPr>
                  <w:rFonts w:ascii="Arial" w:eastAsia="Arial" w:hAnsi="Arial" w:cs="Arial"/>
                  <w:sz w:val="19"/>
                  <w:szCs w:val="19"/>
                  <w:u w:val="single"/>
                </w:rPr>
                <w:t>avlassis@uliege.be</w:t>
              </w:r>
            </w:hyperlink>
            <w:r w:rsidRPr="00F64DFB">
              <w:rPr>
                <w:rFonts w:ascii="Arial" w:eastAsia="Arial" w:hAnsi="Arial" w:cs="Arial"/>
                <w:sz w:val="19"/>
                <w:szCs w:val="19"/>
              </w:rPr>
              <w:t xml:space="preserve"> </w:t>
            </w:r>
          </w:p>
          <w:p w14:paraId="3CC5DEB3" w14:textId="77777777" w:rsidR="00B15D31" w:rsidRPr="00F64DFB" w:rsidRDefault="00B15D31" w:rsidP="00F64DFB">
            <w:pPr>
              <w:spacing w:after="240" w:line="276" w:lineRule="auto"/>
              <w:ind w:right="-6"/>
              <w:rPr>
                <w:rFonts w:ascii="Arial" w:eastAsia="Arial" w:hAnsi="Arial" w:cs="Arial"/>
                <w:sz w:val="32"/>
                <w:szCs w:val="32"/>
              </w:rPr>
            </w:pPr>
          </w:p>
          <w:p w14:paraId="0DFD3ECA" w14:textId="77777777" w:rsidR="00B15D31" w:rsidRPr="00F64DFB" w:rsidRDefault="0025108E" w:rsidP="00F64DFB">
            <w:pPr>
              <w:spacing w:line="276" w:lineRule="auto"/>
              <w:rPr>
                <w:rFonts w:ascii="Arial" w:eastAsia="Arial" w:hAnsi="Arial" w:cs="Arial"/>
              </w:rPr>
            </w:pPr>
            <w:r w:rsidRPr="00F64DFB">
              <w:rPr>
                <w:rFonts w:ascii="Arial" w:eastAsia="Arial" w:hAnsi="Arial" w:cs="Arial"/>
                <w:sz w:val="32"/>
                <w:szCs w:val="32"/>
              </w:rPr>
              <w:t xml:space="preserve">Centre d’études </w:t>
            </w:r>
            <w:r w:rsidRPr="00F64DFB">
              <w:rPr>
                <w:rFonts w:ascii="Arial" w:eastAsia="Arial" w:hAnsi="Arial" w:cs="Arial"/>
                <w:sz w:val="32"/>
                <w:szCs w:val="32"/>
              </w:rPr>
              <w:br/>
              <w:t xml:space="preserve">sur l’intégration </w:t>
            </w:r>
            <w:r w:rsidRPr="00F64DFB">
              <w:rPr>
                <w:rFonts w:ascii="Arial" w:eastAsia="Arial" w:hAnsi="Arial" w:cs="Arial"/>
                <w:sz w:val="32"/>
                <w:szCs w:val="32"/>
              </w:rPr>
              <w:br/>
              <w:t>et la mondialisation</w:t>
            </w:r>
          </w:p>
          <w:p w14:paraId="475E82FB"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civique : </w:t>
            </w:r>
            <w:r w:rsidRPr="00F64DFB">
              <w:rPr>
                <w:rFonts w:ascii="Arial" w:eastAsia="Arial" w:hAnsi="Arial" w:cs="Arial"/>
              </w:rPr>
              <w:t>UQAM, 400, rue Sainte-Catherine Est, Pavillon Hubert-Aquin, bureau A-1560</w:t>
            </w:r>
            <w:r w:rsidRPr="00F64DFB">
              <w:rPr>
                <w:rFonts w:ascii="Arial" w:eastAsia="Arial" w:hAnsi="Arial" w:cs="Arial"/>
              </w:rPr>
              <w:br/>
              <w:t>Montréal (Québec) H2L 2C5 CANADA</w:t>
            </w:r>
          </w:p>
          <w:p w14:paraId="0FD3A87C"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postale : </w:t>
            </w:r>
            <w:r w:rsidRPr="00F64DFB">
              <w:rPr>
                <w:rFonts w:ascii="Arial" w:eastAsia="Arial" w:hAnsi="Arial" w:cs="Arial"/>
              </w:rPr>
              <w:t>Université du Québec à Montréal, Case postale 8888, succ. Centre-Ville, Montréal (Québec) H3C 3P8 CANADA</w:t>
            </w:r>
          </w:p>
          <w:p w14:paraId="45F35398"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Téléphone : 514 987-3000, poste 3910</w:t>
            </w:r>
            <w:r w:rsidRPr="00F64DFB">
              <w:rPr>
                <w:rFonts w:ascii="Arial" w:eastAsia="Arial" w:hAnsi="Arial" w:cs="Arial"/>
              </w:rPr>
              <w:br/>
              <w:t>Télécopieur : 514 987-0397</w:t>
            </w:r>
          </w:p>
          <w:p w14:paraId="22DAD10D"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lastRenderedPageBreak/>
              <w:t xml:space="preserve">Courriel : </w:t>
            </w:r>
            <w:hyperlink r:id="rId47">
              <w:r w:rsidRPr="00F64DFB">
                <w:rPr>
                  <w:rFonts w:ascii="Arial" w:eastAsia="Arial" w:hAnsi="Arial" w:cs="Arial"/>
                  <w:sz w:val="20"/>
                  <w:szCs w:val="20"/>
                  <w:u w:val="single"/>
                </w:rPr>
                <w:t>ceim@uqam.ca</w:t>
              </w:r>
            </w:hyperlink>
            <w:r w:rsidRPr="00F64DFB">
              <w:rPr>
                <w:rFonts w:ascii="Arial" w:eastAsia="Arial" w:hAnsi="Arial" w:cs="Arial"/>
              </w:rPr>
              <w:br/>
              <w:t xml:space="preserve">Site web : </w:t>
            </w:r>
            <w:hyperlink r:id="rId48">
              <w:r w:rsidRPr="00F64DFB">
                <w:rPr>
                  <w:rFonts w:ascii="Arial" w:eastAsia="Arial" w:hAnsi="Arial" w:cs="Arial"/>
                  <w:sz w:val="20"/>
                  <w:szCs w:val="20"/>
                  <w:u w:val="single"/>
                </w:rPr>
                <w:t>www.ceim.uqam.ca</w:t>
              </w:r>
            </w:hyperlink>
            <w:r w:rsidRPr="00F64DFB">
              <w:rPr>
                <w:rFonts w:ascii="Arial" w:eastAsia="Arial" w:hAnsi="Arial" w:cs="Arial"/>
              </w:rPr>
              <w:t xml:space="preserve"> </w:t>
            </w:r>
          </w:p>
          <w:p w14:paraId="3F92A99A"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rPr>
              <w:br/>
            </w:r>
          </w:p>
          <w:p w14:paraId="78815687"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noProof/>
                <w:lang w:val="en-US" w:eastAsia="en-US"/>
              </w:rPr>
              <w:drawing>
                <wp:inline distT="0" distB="0" distL="0" distR="0" wp14:anchorId="63A7C50C" wp14:editId="363F4EBA">
                  <wp:extent cx="812733" cy="761937"/>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9"/>
                          <a:srcRect/>
                          <a:stretch>
                            <a:fillRect/>
                          </a:stretch>
                        </pic:blipFill>
                        <pic:spPr>
                          <a:xfrm>
                            <a:off x="0" y="0"/>
                            <a:ext cx="812733" cy="761937"/>
                          </a:xfrm>
                          <a:prstGeom prst="rect">
                            <a:avLst/>
                          </a:prstGeom>
                          <a:ln/>
                        </pic:spPr>
                      </pic:pic>
                    </a:graphicData>
                  </a:graphic>
                </wp:inline>
              </w:drawing>
            </w:r>
          </w:p>
          <w:p w14:paraId="14E1743A" w14:textId="77777777" w:rsidR="00B15D31" w:rsidRPr="00F64DFB" w:rsidRDefault="00B15D31" w:rsidP="00F64DFB">
            <w:pPr>
              <w:spacing w:line="276" w:lineRule="auto"/>
              <w:rPr>
                <w:rFonts w:ascii="Arial" w:eastAsia="Arial" w:hAnsi="Arial" w:cs="Arial"/>
                <w:sz w:val="32"/>
                <w:szCs w:val="32"/>
              </w:rPr>
            </w:pPr>
          </w:p>
          <w:p w14:paraId="2834A03A" w14:textId="77777777" w:rsidR="00B15D31" w:rsidRPr="00F64DFB" w:rsidRDefault="00B15D31" w:rsidP="00F64DFB">
            <w:pPr>
              <w:spacing w:line="276" w:lineRule="auto"/>
              <w:rPr>
                <w:rFonts w:ascii="Arial" w:eastAsia="Arial" w:hAnsi="Arial" w:cs="Arial"/>
                <w:sz w:val="32"/>
                <w:szCs w:val="32"/>
              </w:rPr>
            </w:pPr>
          </w:p>
          <w:p w14:paraId="05F38BAB" w14:textId="77777777" w:rsidR="00B15D31" w:rsidRPr="00F64DFB" w:rsidRDefault="0025108E" w:rsidP="00F64DFB">
            <w:pPr>
              <w:spacing w:line="276" w:lineRule="auto"/>
              <w:rPr>
                <w:rFonts w:ascii="Arial" w:eastAsia="Arial" w:hAnsi="Arial" w:cs="Arial"/>
                <w:i/>
                <w:sz w:val="16"/>
                <w:szCs w:val="16"/>
              </w:rPr>
            </w:pPr>
            <w:r w:rsidRPr="00F64DFB">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B41D43E" w14:textId="77777777" w:rsidR="00B15D31" w:rsidRPr="00F64DFB" w:rsidRDefault="00B15D31" w:rsidP="00F64DFB">
            <w:pPr>
              <w:spacing w:line="276" w:lineRule="auto"/>
              <w:rPr>
                <w:rFonts w:ascii="Arial" w:eastAsia="Arial" w:hAnsi="Arial" w:cs="Arial"/>
                <w:sz w:val="32"/>
                <w:szCs w:val="32"/>
              </w:rPr>
            </w:pPr>
          </w:p>
        </w:tc>
      </w:tr>
    </w:tbl>
    <w:p w14:paraId="3C31F599" w14:textId="77777777" w:rsidR="00B15D31" w:rsidRPr="00F64DFB" w:rsidRDefault="00B15D31" w:rsidP="00F64DFB">
      <w:pPr>
        <w:spacing w:line="276" w:lineRule="auto"/>
        <w:rPr>
          <w:rFonts w:ascii="Arial" w:eastAsia="Arial" w:hAnsi="Arial" w:cs="Arial"/>
        </w:rPr>
      </w:pPr>
    </w:p>
    <w:sectPr w:rsidR="00B15D31" w:rsidRPr="00F64DFB">
      <w:headerReference w:type="default" r:id="rId50"/>
      <w:footerReference w:type="even" r:id="rId51"/>
      <w:footerReference w:type="default" r:id="rId52"/>
      <w:pgSz w:w="12240" w:h="15840"/>
      <w:pgMar w:top="2140" w:right="1440" w:bottom="122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09C30" w14:textId="77777777" w:rsidR="00466692" w:rsidRDefault="00466692">
      <w:r>
        <w:separator/>
      </w:r>
    </w:p>
  </w:endnote>
  <w:endnote w:type="continuationSeparator" w:id="0">
    <w:p w14:paraId="016E942A" w14:textId="77777777" w:rsidR="00466692" w:rsidRDefault="0046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57 Cn">
    <w:altName w:val="Cambria"/>
    <w:charset w:val="4D"/>
    <w:family w:val="swiss"/>
    <w:pitch w:val="variable"/>
    <w:sig w:usb0="00000003" w:usb1="00000000" w:usb2="00000000" w:usb3="00000000" w:csb0="00000001" w:csb1="00000000"/>
  </w:font>
  <w:font w:name="Levenim MT">
    <w:altName w:val="Arial"/>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A458" w14:textId="77777777"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216A0A9" w14:textId="77777777" w:rsidR="00B15D31" w:rsidRDefault="00B15D3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FF3F" w14:textId="5E922BD5"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A2DE9">
      <w:rPr>
        <w:noProof/>
        <w:color w:val="000000"/>
      </w:rPr>
      <w:t>3</w:t>
    </w:r>
    <w:r>
      <w:rPr>
        <w:color w:val="000000"/>
      </w:rPr>
      <w:fldChar w:fldCharType="end"/>
    </w:r>
  </w:p>
  <w:p w14:paraId="4ED9075A" w14:textId="77777777" w:rsidR="00B15D31" w:rsidRDefault="00B15D3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84AFF" w14:textId="77777777" w:rsidR="00466692" w:rsidRDefault="00466692">
      <w:r>
        <w:separator/>
      </w:r>
    </w:p>
  </w:footnote>
  <w:footnote w:type="continuationSeparator" w:id="0">
    <w:p w14:paraId="3FE31FED" w14:textId="77777777" w:rsidR="00466692" w:rsidRDefault="0046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5DDB" w14:textId="77777777" w:rsidR="00B15D31" w:rsidRDefault="0025108E">
    <w:pPr>
      <w:pBdr>
        <w:top w:val="nil"/>
        <w:left w:val="nil"/>
        <w:bottom w:val="nil"/>
        <w:right w:val="nil"/>
        <w:between w:val="nil"/>
      </w:pBdr>
      <w:tabs>
        <w:tab w:val="center" w:pos="4513"/>
        <w:tab w:val="right" w:pos="9026"/>
      </w:tabs>
      <w:ind w:left="426" w:right="1138"/>
      <w:jc w:val="center"/>
      <w:rPr>
        <w:color w:val="000000"/>
      </w:rPr>
    </w:pPr>
    <w:r>
      <w:rPr>
        <w:noProof/>
        <w:color w:val="000000"/>
        <w:lang w:val="en-US" w:eastAsia="en-US"/>
      </w:rPr>
      <w:drawing>
        <wp:inline distT="0" distB="0" distL="0" distR="0" wp14:anchorId="6A6455A7" wp14:editId="2636D19E">
          <wp:extent cx="1412240" cy="568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noProof/>
        <w:color w:val="000000"/>
        <w:lang w:val="en-US" w:eastAsia="en-US"/>
      </w:rPr>
      <w:drawing>
        <wp:inline distT="0" distB="0" distL="0" distR="0" wp14:anchorId="20146E18" wp14:editId="4AD06470">
          <wp:extent cx="873760" cy="5715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55F50"/>
    <w:multiLevelType w:val="multilevel"/>
    <w:tmpl w:val="A1E8B092"/>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50D56"/>
    <w:multiLevelType w:val="multilevel"/>
    <w:tmpl w:val="A07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BC2EA3"/>
    <w:multiLevelType w:val="multilevel"/>
    <w:tmpl w:val="BBA40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A37D3C"/>
    <w:multiLevelType w:val="multilevel"/>
    <w:tmpl w:val="9A6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61894">
    <w:abstractNumId w:val="3"/>
  </w:num>
  <w:num w:numId="2" w16cid:durableId="2025355269">
    <w:abstractNumId w:val="1"/>
  </w:num>
  <w:num w:numId="3" w16cid:durableId="1252861163">
    <w:abstractNumId w:val="4"/>
  </w:num>
  <w:num w:numId="4" w16cid:durableId="542525787">
    <w:abstractNumId w:val="0"/>
  </w:num>
  <w:num w:numId="5" w16cid:durableId="181320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31"/>
    <w:rsid w:val="00013D9F"/>
    <w:rsid w:val="0001630F"/>
    <w:rsid w:val="00017A98"/>
    <w:rsid w:val="00021517"/>
    <w:rsid w:val="00022742"/>
    <w:rsid w:val="00023308"/>
    <w:rsid w:val="000236FB"/>
    <w:rsid w:val="00025899"/>
    <w:rsid w:val="00026C00"/>
    <w:rsid w:val="00037B51"/>
    <w:rsid w:val="00046975"/>
    <w:rsid w:val="00056159"/>
    <w:rsid w:val="00074CA0"/>
    <w:rsid w:val="000775E9"/>
    <w:rsid w:val="0008275C"/>
    <w:rsid w:val="0008297A"/>
    <w:rsid w:val="000B4962"/>
    <w:rsid w:val="000B5855"/>
    <w:rsid w:val="000B6500"/>
    <w:rsid w:val="000B7C26"/>
    <w:rsid w:val="000C1A44"/>
    <w:rsid w:val="000C7A65"/>
    <w:rsid w:val="000D0927"/>
    <w:rsid w:val="000D2A1C"/>
    <w:rsid w:val="000D6FA7"/>
    <w:rsid w:val="000D753B"/>
    <w:rsid w:val="000E4ECA"/>
    <w:rsid w:val="00101DF3"/>
    <w:rsid w:val="00105F4B"/>
    <w:rsid w:val="00113F53"/>
    <w:rsid w:val="00125179"/>
    <w:rsid w:val="00133BF3"/>
    <w:rsid w:val="00136E0B"/>
    <w:rsid w:val="00145ACF"/>
    <w:rsid w:val="001637C7"/>
    <w:rsid w:val="001674D3"/>
    <w:rsid w:val="00172265"/>
    <w:rsid w:val="0017293A"/>
    <w:rsid w:val="00172AE0"/>
    <w:rsid w:val="00173CDB"/>
    <w:rsid w:val="00182231"/>
    <w:rsid w:val="00193BE3"/>
    <w:rsid w:val="001A3506"/>
    <w:rsid w:val="001A46D6"/>
    <w:rsid w:val="001A7C71"/>
    <w:rsid w:val="001B6004"/>
    <w:rsid w:val="001E3694"/>
    <w:rsid w:val="001E7F20"/>
    <w:rsid w:val="00203873"/>
    <w:rsid w:val="00243E1E"/>
    <w:rsid w:val="00247100"/>
    <w:rsid w:val="0025108E"/>
    <w:rsid w:val="00267A45"/>
    <w:rsid w:val="00272B9C"/>
    <w:rsid w:val="002755F9"/>
    <w:rsid w:val="002769F2"/>
    <w:rsid w:val="0029572A"/>
    <w:rsid w:val="0029773E"/>
    <w:rsid w:val="00297C18"/>
    <w:rsid w:val="002A6203"/>
    <w:rsid w:val="002A624A"/>
    <w:rsid w:val="002A6DFC"/>
    <w:rsid w:val="002A72D5"/>
    <w:rsid w:val="002C57A2"/>
    <w:rsid w:val="002E78AB"/>
    <w:rsid w:val="002F24AD"/>
    <w:rsid w:val="0033488A"/>
    <w:rsid w:val="00346DB1"/>
    <w:rsid w:val="003504DA"/>
    <w:rsid w:val="0035500C"/>
    <w:rsid w:val="0037629D"/>
    <w:rsid w:val="0038274F"/>
    <w:rsid w:val="003841B4"/>
    <w:rsid w:val="00384B35"/>
    <w:rsid w:val="003863C8"/>
    <w:rsid w:val="003872BA"/>
    <w:rsid w:val="00392107"/>
    <w:rsid w:val="00393059"/>
    <w:rsid w:val="00397D88"/>
    <w:rsid w:val="003A4AA6"/>
    <w:rsid w:val="003B210C"/>
    <w:rsid w:val="003C1C5D"/>
    <w:rsid w:val="003C5868"/>
    <w:rsid w:val="003C5BF5"/>
    <w:rsid w:val="003C6728"/>
    <w:rsid w:val="003D3DD1"/>
    <w:rsid w:val="003D43A6"/>
    <w:rsid w:val="003E5C1F"/>
    <w:rsid w:val="00403A24"/>
    <w:rsid w:val="00427194"/>
    <w:rsid w:val="004308BF"/>
    <w:rsid w:val="00432B4E"/>
    <w:rsid w:val="00440B37"/>
    <w:rsid w:val="00455984"/>
    <w:rsid w:val="00466692"/>
    <w:rsid w:val="004754D5"/>
    <w:rsid w:val="004C0281"/>
    <w:rsid w:val="004C4D61"/>
    <w:rsid w:val="004F0E08"/>
    <w:rsid w:val="004F1315"/>
    <w:rsid w:val="00520CF2"/>
    <w:rsid w:val="00532095"/>
    <w:rsid w:val="00534BBB"/>
    <w:rsid w:val="00542DB2"/>
    <w:rsid w:val="00560DF8"/>
    <w:rsid w:val="00562CE7"/>
    <w:rsid w:val="00570D12"/>
    <w:rsid w:val="00593D43"/>
    <w:rsid w:val="005A2DE9"/>
    <w:rsid w:val="005A6F91"/>
    <w:rsid w:val="005D5124"/>
    <w:rsid w:val="005D77F6"/>
    <w:rsid w:val="005F5FCB"/>
    <w:rsid w:val="005F6550"/>
    <w:rsid w:val="0060371B"/>
    <w:rsid w:val="00603E33"/>
    <w:rsid w:val="006046D9"/>
    <w:rsid w:val="006074FE"/>
    <w:rsid w:val="00612CA0"/>
    <w:rsid w:val="006146F5"/>
    <w:rsid w:val="0061583D"/>
    <w:rsid w:val="00633AD5"/>
    <w:rsid w:val="00636064"/>
    <w:rsid w:val="006371AC"/>
    <w:rsid w:val="00660E7D"/>
    <w:rsid w:val="0068293A"/>
    <w:rsid w:val="00687880"/>
    <w:rsid w:val="006964F0"/>
    <w:rsid w:val="006974F0"/>
    <w:rsid w:val="006A00A1"/>
    <w:rsid w:val="006A1D24"/>
    <w:rsid w:val="006A4F75"/>
    <w:rsid w:val="006A556D"/>
    <w:rsid w:val="006C25AF"/>
    <w:rsid w:val="006C570A"/>
    <w:rsid w:val="006C5BAE"/>
    <w:rsid w:val="006E74C3"/>
    <w:rsid w:val="006F2FF0"/>
    <w:rsid w:val="00705EE7"/>
    <w:rsid w:val="007130D1"/>
    <w:rsid w:val="00731395"/>
    <w:rsid w:val="00743DFB"/>
    <w:rsid w:val="00764918"/>
    <w:rsid w:val="00767EDB"/>
    <w:rsid w:val="0077280F"/>
    <w:rsid w:val="00772896"/>
    <w:rsid w:val="00776263"/>
    <w:rsid w:val="00777A2B"/>
    <w:rsid w:val="00790369"/>
    <w:rsid w:val="0079317A"/>
    <w:rsid w:val="00797D24"/>
    <w:rsid w:val="007B03C2"/>
    <w:rsid w:val="007B6427"/>
    <w:rsid w:val="007C0B7D"/>
    <w:rsid w:val="007C553A"/>
    <w:rsid w:val="007C6931"/>
    <w:rsid w:val="007D0B5A"/>
    <w:rsid w:val="0080126D"/>
    <w:rsid w:val="00801685"/>
    <w:rsid w:val="008171E4"/>
    <w:rsid w:val="008251F2"/>
    <w:rsid w:val="00834CA6"/>
    <w:rsid w:val="00841612"/>
    <w:rsid w:val="008528BE"/>
    <w:rsid w:val="00857BEC"/>
    <w:rsid w:val="00871853"/>
    <w:rsid w:val="008945BB"/>
    <w:rsid w:val="00897E4F"/>
    <w:rsid w:val="008A1923"/>
    <w:rsid w:val="008A2F8B"/>
    <w:rsid w:val="008B3C95"/>
    <w:rsid w:val="008B4A94"/>
    <w:rsid w:val="008F28C0"/>
    <w:rsid w:val="008F6743"/>
    <w:rsid w:val="00900F11"/>
    <w:rsid w:val="00917269"/>
    <w:rsid w:val="00946C61"/>
    <w:rsid w:val="00952ADA"/>
    <w:rsid w:val="00956E7E"/>
    <w:rsid w:val="00964A20"/>
    <w:rsid w:val="009708BE"/>
    <w:rsid w:val="009718F8"/>
    <w:rsid w:val="00972CEB"/>
    <w:rsid w:val="00981C11"/>
    <w:rsid w:val="00987187"/>
    <w:rsid w:val="00991692"/>
    <w:rsid w:val="00994004"/>
    <w:rsid w:val="00994DB8"/>
    <w:rsid w:val="00997762"/>
    <w:rsid w:val="009A21B7"/>
    <w:rsid w:val="009B1A51"/>
    <w:rsid w:val="009B4B42"/>
    <w:rsid w:val="009C5346"/>
    <w:rsid w:val="009D2AD5"/>
    <w:rsid w:val="009D559E"/>
    <w:rsid w:val="009D6DF1"/>
    <w:rsid w:val="009E286C"/>
    <w:rsid w:val="009E5A10"/>
    <w:rsid w:val="00A124B9"/>
    <w:rsid w:val="00A169F0"/>
    <w:rsid w:val="00A836AA"/>
    <w:rsid w:val="00A83A9F"/>
    <w:rsid w:val="00A95A89"/>
    <w:rsid w:val="00AA5D8E"/>
    <w:rsid w:val="00AA6D35"/>
    <w:rsid w:val="00AB4587"/>
    <w:rsid w:val="00AC2905"/>
    <w:rsid w:val="00AD1D5D"/>
    <w:rsid w:val="00AD3C88"/>
    <w:rsid w:val="00AD724B"/>
    <w:rsid w:val="00B0326E"/>
    <w:rsid w:val="00B0684A"/>
    <w:rsid w:val="00B11154"/>
    <w:rsid w:val="00B132ED"/>
    <w:rsid w:val="00B15D31"/>
    <w:rsid w:val="00B2381A"/>
    <w:rsid w:val="00B3517F"/>
    <w:rsid w:val="00B36138"/>
    <w:rsid w:val="00B365B1"/>
    <w:rsid w:val="00B401CE"/>
    <w:rsid w:val="00B405E1"/>
    <w:rsid w:val="00B41C83"/>
    <w:rsid w:val="00B46F5A"/>
    <w:rsid w:val="00B47F1A"/>
    <w:rsid w:val="00B55DC3"/>
    <w:rsid w:val="00B8306B"/>
    <w:rsid w:val="00B8661C"/>
    <w:rsid w:val="00B92368"/>
    <w:rsid w:val="00B94F98"/>
    <w:rsid w:val="00BA331F"/>
    <w:rsid w:val="00BA7C33"/>
    <w:rsid w:val="00BB19A1"/>
    <w:rsid w:val="00BC22B5"/>
    <w:rsid w:val="00BD2502"/>
    <w:rsid w:val="00BE26DD"/>
    <w:rsid w:val="00BF0F2D"/>
    <w:rsid w:val="00C1263D"/>
    <w:rsid w:val="00C1760E"/>
    <w:rsid w:val="00C310C4"/>
    <w:rsid w:val="00C50453"/>
    <w:rsid w:val="00C553E9"/>
    <w:rsid w:val="00C6669F"/>
    <w:rsid w:val="00C779A6"/>
    <w:rsid w:val="00C77A0F"/>
    <w:rsid w:val="00C8323B"/>
    <w:rsid w:val="00C85970"/>
    <w:rsid w:val="00CA1C24"/>
    <w:rsid w:val="00CC1D0A"/>
    <w:rsid w:val="00CD1643"/>
    <w:rsid w:val="00D0316F"/>
    <w:rsid w:val="00D05B08"/>
    <w:rsid w:val="00D13B25"/>
    <w:rsid w:val="00D36905"/>
    <w:rsid w:val="00D42612"/>
    <w:rsid w:val="00D50616"/>
    <w:rsid w:val="00D603A6"/>
    <w:rsid w:val="00D73278"/>
    <w:rsid w:val="00D73A36"/>
    <w:rsid w:val="00D8355D"/>
    <w:rsid w:val="00D866FA"/>
    <w:rsid w:val="00D9727C"/>
    <w:rsid w:val="00DB099E"/>
    <w:rsid w:val="00DB6950"/>
    <w:rsid w:val="00DB7C29"/>
    <w:rsid w:val="00DC3F20"/>
    <w:rsid w:val="00DD6038"/>
    <w:rsid w:val="00DD70B1"/>
    <w:rsid w:val="00DD72EF"/>
    <w:rsid w:val="00DE2ED5"/>
    <w:rsid w:val="00DE384D"/>
    <w:rsid w:val="00DF3A47"/>
    <w:rsid w:val="00E16A51"/>
    <w:rsid w:val="00E1780F"/>
    <w:rsid w:val="00E4258C"/>
    <w:rsid w:val="00E5178A"/>
    <w:rsid w:val="00E54024"/>
    <w:rsid w:val="00E55562"/>
    <w:rsid w:val="00E613B0"/>
    <w:rsid w:val="00E62222"/>
    <w:rsid w:val="00E82A60"/>
    <w:rsid w:val="00E830A9"/>
    <w:rsid w:val="00E8412A"/>
    <w:rsid w:val="00E93369"/>
    <w:rsid w:val="00E95DF0"/>
    <w:rsid w:val="00EA39AB"/>
    <w:rsid w:val="00EA495C"/>
    <w:rsid w:val="00EB509E"/>
    <w:rsid w:val="00EC29C6"/>
    <w:rsid w:val="00ED5FC8"/>
    <w:rsid w:val="00ED733D"/>
    <w:rsid w:val="00EE107D"/>
    <w:rsid w:val="00EE3399"/>
    <w:rsid w:val="00EE6594"/>
    <w:rsid w:val="00EE7F67"/>
    <w:rsid w:val="00EF4A3D"/>
    <w:rsid w:val="00EF7494"/>
    <w:rsid w:val="00F020DB"/>
    <w:rsid w:val="00F02210"/>
    <w:rsid w:val="00F077B9"/>
    <w:rsid w:val="00F104B5"/>
    <w:rsid w:val="00F17333"/>
    <w:rsid w:val="00F57398"/>
    <w:rsid w:val="00F62EBB"/>
    <w:rsid w:val="00F64DFB"/>
    <w:rsid w:val="00F67B3C"/>
    <w:rsid w:val="00F71A94"/>
    <w:rsid w:val="00F72A3E"/>
    <w:rsid w:val="00F7314C"/>
    <w:rsid w:val="00F8710B"/>
    <w:rsid w:val="00F964E1"/>
    <w:rsid w:val="00F9784C"/>
    <w:rsid w:val="00FC2C7B"/>
    <w:rsid w:val="00FD0261"/>
    <w:rsid w:val="00FE0C77"/>
    <w:rsid w:val="00FF2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82B"/>
  <w15:docId w15:val="{2532C2C8-C620-6648-9486-D98A7251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54"/>
  </w:style>
  <w:style w:type="paragraph" w:styleId="Heading1">
    <w:name w:val="heading 1"/>
    <w:basedOn w:val="Normal"/>
    <w:next w:val="Normal"/>
    <w:link w:val="Heading1Char"/>
    <w:uiPriority w:val="9"/>
    <w:qFormat/>
    <w:rsid w:val="003A3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5301E"/>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Heading3">
    <w:name w:val="heading 3"/>
    <w:basedOn w:val="Normal"/>
    <w:link w:val="Heading3Char"/>
    <w:uiPriority w:val="9"/>
    <w:semiHidden/>
    <w:unhideWhenUsed/>
    <w:qFormat/>
    <w:rsid w:val="00C5301E"/>
    <w:pPr>
      <w:spacing w:before="100" w:beforeAutospacing="1" w:after="100" w:afterAutospacing="1"/>
      <w:outlineLvl w:val="2"/>
    </w:pPr>
    <w:rPr>
      <w:rFonts w:ascii="Times New Roman" w:eastAsia="Times New Roman" w:hAnsi="Times New Roman" w:cs="Times New Roman"/>
      <w:b/>
      <w:bCs/>
      <w:sz w:val="27"/>
      <w:szCs w:val="27"/>
      <w:lang w:val="en-CA"/>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E06454"/>
    <w:pPr>
      <w:tabs>
        <w:tab w:val="center" w:pos="4513"/>
        <w:tab w:val="right" w:pos="9026"/>
      </w:tabs>
    </w:pPr>
  </w:style>
  <w:style w:type="character" w:customStyle="1" w:styleId="FooterChar">
    <w:name w:val="Footer Char"/>
    <w:basedOn w:val="DefaultParagraphFont"/>
    <w:link w:val="Footer"/>
    <w:uiPriority w:val="99"/>
    <w:rsid w:val="00E06454"/>
  </w:style>
  <w:style w:type="character" w:styleId="PageNumber">
    <w:name w:val="page number"/>
    <w:basedOn w:val="DefaultParagraphFont"/>
    <w:uiPriority w:val="99"/>
    <w:semiHidden/>
    <w:unhideWhenUsed/>
    <w:rsid w:val="00E06454"/>
  </w:style>
  <w:style w:type="character" w:styleId="Hyperlink">
    <w:name w:val="Hyperlink"/>
    <w:basedOn w:val="DefaultParagraphFont"/>
    <w:uiPriority w:val="99"/>
    <w:unhideWhenUsed/>
    <w:rsid w:val="00E06454"/>
    <w:rPr>
      <w:color w:val="0563C1" w:themeColor="hyperlink"/>
      <w:u w:val="single"/>
    </w:rPr>
  </w:style>
  <w:style w:type="paragraph" w:styleId="ListParagraph">
    <w:name w:val="List Paragraph"/>
    <w:basedOn w:val="Normal"/>
    <w:uiPriority w:val="34"/>
    <w:qFormat/>
    <w:rsid w:val="00E06454"/>
    <w:pPr>
      <w:ind w:left="720"/>
      <w:contextualSpacing/>
    </w:pPr>
  </w:style>
  <w:style w:type="table" w:styleId="TableGrid">
    <w:name w:val="Table Grid"/>
    <w:basedOn w:val="TableNormal"/>
    <w:uiPriority w:val="39"/>
    <w:rsid w:val="00E0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454"/>
    <w:pPr>
      <w:tabs>
        <w:tab w:val="center" w:pos="4513"/>
        <w:tab w:val="right" w:pos="9026"/>
      </w:tabs>
    </w:pPr>
  </w:style>
  <w:style w:type="character" w:customStyle="1" w:styleId="HeaderChar">
    <w:name w:val="Header Char"/>
    <w:basedOn w:val="DefaultParagraphFont"/>
    <w:link w:val="Header"/>
    <w:uiPriority w:val="99"/>
    <w:rsid w:val="00E06454"/>
  </w:style>
  <w:style w:type="paragraph" w:customStyle="1" w:styleId="TexteNormalHyperlink">
    <w:name w:val="TexteNormalHyperlink"/>
    <w:basedOn w:val="Normal"/>
    <w:link w:val="TexteNormalHyperlinkChar"/>
    <w:autoRedefine/>
    <w:qFormat/>
    <w:rsid w:val="00E06454"/>
    <w:pPr>
      <w:spacing w:before="240"/>
      <w:ind w:right="20" w:firstLine="284"/>
      <w:jc w:val="both"/>
    </w:pPr>
    <w:rPr>
      <w:rFonts w:ascii="Univers LT Std 57 Cn" w:eastAsia="Times New Roman" w:hAnsi="Univers LT Std 57 Cn" w:cs="Levenim MT"/>
      <w:noProof/>
      <w:color w:val="00B050"/>
      <w:sz w:val="20"/>
      <w:szCs w:val="26"/>
      <w:u w:val="single" w:color="00B050"/>
      <w:lang w:eastAsia="fr-CA"/>
    </w:rPr>
  </w:style>
  <w:style w:type="character" w:customStyle="1" w:styleId="TexteNormalHyperlinkChar">
    <w:name w:val="TexteNormalHyperlink Char"/>
    <w:basedOn w:val="DefaultParagraphFont"/>
    <w:link w:val="TexteNormalHyperlink"/>
    <w:rsid w:val="00E06454"/>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DefaultParagraphFont"/>
    <w:uiPriority w:val="99"/>
    <w:rsid w:val="00352B05"/>
    <w:rPr>
      <w:color w:val="605E5C"/>
      <w:shd w:val="clear" w:color="auto" w:fill="E1DFDD"/>
    </w:rPr>
  </w:style>
  <w:style w:type="character" w:styleId="FollowedHyperlink">
    <w:name w:val="FollowedHyperlink"/>
    <w:basedOn w:val="DefaultParagraphFont"/>
    <w:uiPriority w:val="99"/>
    <w:semiHidden/>
    <w:unhideWhenUsed/>
    <w:rsid w:val="000F1A29"/>
    <w:rPr>
      <w:color w:val="954F72" w:themeColor="followedHyperlink"/>
      <w:u w:val="single"/>
    </w:rPr>
  </w:style>
  <w:style w:type="paragraph" w:styleId="FootnoteText">
    <w:name w:val="footnote text"/>
    <w:basedOn w:val="Normal"/>
    <w:link w:val="FootnoteTextChar"/>
    <w:unhideWhenUsed/>
    <w:rsid w:val="00EF0F07"/>
    <w:rPr>
      <w:rFonts w:ascii="Cambria" w:eastAsia="Cambria" w:hAnsi="Cambria" w:cs="Times New Roman"/>
    </w:rPr>
  </w:style>
  <w:style w:type="character" w:customStyle="1" w:styleId="FootnoteTextChar">
    <w:name w:val="Footnote Text Char"/>
    <w:basedOn w:val="DefaultParagraphFont"/>
    <w:link w:val="FootnoteText"/>
    <w:rsid w:val="00EF0F07"/>
    <w:rPr>
      <w:rFonts w:ascii="Cambria" w:eastAsia="Cambria" w:hAnsi="Cambria" w:cs="Times New Roman"/>
    </w:rPr>
  </w:style>
  <w:style w:type="character" w:styleId="FootnoteReference">
    <w:name w:val="footnote reference"/>
    <w:unhideWhenUsed/>
    <w:rsid w:val="00EF0F07"/>
    <w:rPr>
      <w:vertAlign w:val="superscript"/>
    </w:rPr>
  </w:style>
  <w:style w:type="paragraph" w:styleId="HTMLPreformatted">
    <w:name w:val="HTML Preformatted"/>
    <w:basedOn w:val="Normal"/>
    <w:link w:val="HTMLPreformattedChar"/>
    <w:uiPriority w:val="99"/>
    <w:semiHidden/>
    <w:unhideWhenUsed/>
    <w:rsid w:val="00AE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AE604A"/>
    <w:rPr>
      <w:rFonts w:ascii="Courier New" w:eastAsia="Times New Roman" w:hAnsi="Courier New" w:cs="Courier New"/>
      <w:sz w:val="20"/>
      <w:szCs w:val="20"/>
      <w:lang w:val="en-CA" w:eastAsia="fr-FR"/>
    </w:rPr>
  </w:style>
  <w:style w:type="character" w:customStyle="1" w:styleId="Heading2Char">
    <w:name w:val="Heading 2 Char"/>
    <w:basedOn w:val="DefaultParagraphFont"/>
    <w:link w:val="Heading2"/>
    <w:uiPriority w:val="9"/>
    <w:rsid w:val="00C5301E"/>
    <w:rPr>
      <w:rFonts w:ascii="Times New Roman" w:eastAsia="Times New Roman" w:hAnsi="Times New Roman" w:cs="Times New Roman"/>
      <w:b/>
      <w:bCs/>
      <w:sz w:val="36"/>
      <w:szCs w:val="36"/>
      <w:lang w:val="en-CA" w:eastAsia="fr-FR"/>
    </w:rPr>
  </w:style>
  <w:style w:type="character" w:customStyle="1" w:styleId="Heading3Char">
    <w:name w:val="Heading 3 Char"/>
    <w:basedOn w:val="DefaultParagraphFont"/>
    <w:link w:val="Heading3"/>
    <w:uiPriority w:val="9"/>
    <w:rsid w:val="00C5301E"/>
    <w:rPr>
      <w:rFonts w:ascii="Times New Roman" w:eastAsia="Times New Roman" w:hAnsi="Times New Roman" w:cs="Times New Roman"/>
      <w:b/>
      <w:bCs/>
      <w:sz w:val="27"/>
      <w:szCs w:val="27"/>
      <w:lang w:val="en-CA" w:eastAsia="fr-FR"/>
    </w:rPr>
  </w:style>
  <w:style w:type="paragraph" w:styleId="BalloonText">
    <w:name w:val="Balloon Text"/>
    <w:basedOn w:val="Normal"/>
    <w:link w:val="BalloonTextChar"/>
    <w:uiPriority w:val="99"/>
    <w:semiHidden/>
    <w:unhideWhenUsed/>
    <w:rsid w:val="000E3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E2C"/>
    <w:rPr>
      <w:rFonts w:ascii="Lucida Grande" w:hAnsi="Lucida Grande" w:cs="Lucida Grande"/>
      <w:sz w:val="18"/>
      <w:szCs w:val="18"/>
    </w:rPr>
  </w:style>
  <w:style w:type="character" w:customStyle="1" w:styleId="Mentionnonrsolue2">
    <w:name w:val="Mention non résolue2"/>
    <w:basedOn w:val="DefaultParagraphFont"/>
    <w:uiPriority w:val="99"/>
    <w:semiHidden/>
    <w:unhideWhenUsed/>
    <w:rsid w:val="005738A2"/>
    <w:rPr>
      <w:color w:val="605E5C"/>
      <w:shd w:val="clear" w:color="auto" w:fill="E1DFDD"/>
    </w:rPr>
  </w:style>
  <w:style w:type="character" w:customStyle="1" w:styleId="Mentionnonrsolue3">
    <w:name w:val="Mention non résolue3"/>
    <w:basedOn w:val="DefaultParagraphFont"/>
    <w:uiPriority w:val="99"/>
    <w:semiHidden/>
    <w:unhideWhenUsed/>
    <w:rsid w:val="00BF1409"/>
    <w:rPr>
      <w:color w:val="605E5C"/>
      <w:shd w:val="clear" w:color="auto" w:fill="E1DFDD"/>
    </w:rPr>
  </w:style>
  <w:style w:type="character" w:customStyle="1" w:styleId="Mentionnonrsolue4">
    <w:name w:val="Mention non résolue4"/>
    <w:basedOn w:val="DefaultParagraphFont"/>
    <w:uiPriority w:val="99"/>
    <w:semiHidden/>
    <w:unhideWhenUsed/>
    <w:rsid w:val="005767C7"/>
    <w:rPr>
      <w:color w:val="605E5C"/>
      <w:shd w:val="clear" w:color="auto" w:fill="E1DFDD"/>
    </w:rPr>
  </w:style>
  <w:style w:type="character" w:styleId="CommentReference">
    <w:name w:val="annotation reference"/>
    <w:basedOn w:val="DefaultParagraphFont"/>
    <w:uiPriority w:val="99"/>
    <w:semiHidden/>
    <w:unhideWhenUsed/>
    <w:rsid w:val="00D90E5D"/>
    <w:rPr>
      <w:sz w:val="16"/>
      <w:szCs w:val="16"/>
    </w:rPr>
  </w:style>
  <w:style w:type="paragraph" w:styleId="CommentText">
    <w:name w:val="annotation text"/>
    <w:basedOn w:val="Normal"/>
    <w:link w:val="CommentTextChar"/>
    <w:uiPriority w:val="99"/>
    <w:semiHidden/>
    <w:unhideWhenUsed/>
    <w:rsid w:val="00D90E5D"/>
    <w:rPr>
      <w:sz w:val="20"/>
      <w:szCs w:val="20"/>
    </w:rPr>
  </w:style>
  <w:style w:type="character" w:customStyle="1" w:styleId="CommentTextChar">
    <w:name w:val="Comment Text Char"/>
    <w:basedOn w:val="DefaultParagraphFont"/>
    <w:link w:val="CommentText"/>
    <w:uiPriority w:val="99"/>
    <w:semiHidden/>
    <w:rsid w:val="00D90E5D"/>
    <w:rPr>
      <w:sz w:val="20"/>
      <w:szCs w:val="20"/>
    </w:rPr>
  </w:style>
  <w:style w:type="paragraph" w:styleId="CommentSubject">
    <w:name w:val="annotation subject"/>
    <w:basedOn w:val="CommentText"/>
    <w:next w:val="CommentText"/>
    <w:link w:val="CommentSubjectChar"/>
    <w:uiPriority w:val="99"/>
    <w:semiHidden/>
    <w:unhideWhenUsed/>
    <w:rsid w:val="00D90E5D"/>
    <w:rPr>
      <w:b/>
      <w:bCs/>
    </w:rPr>
  </w:style>
  <w:style w:type="character" w:customStyle="1" w:styleId="CommentSubjectChar">
    <w:name w:val="Comment Subject Char"/>
    <w:basedOn w:val="CommentTextChar"/>
    <w:link w:val="CommentSubject"/>
    <w:uiPriority w:val="99"/>
    <w:semiHidden/>
    <w:rsid w:val="00D90E5D"/>
    <w:rPr>
      <w:b/>
      <w:bCs/>
      <w:sz w:val="20"/>
      <w:szCs w:val="20"/>
    </w:rPr>
  </w:style>
  <w:style w:type="character" w:customStyle="1" w:styleId="Mentionnonrsolue5">
    <w:name w:val="Mention non résolue5"/>
    <w:basedOn w:val="DefaultParagraphFont"/>
    <w:uiPriority w:val="99"/>
    <w:semiHidden/>
    <w:unhideWhenUsed/>
    <w:rsid w:val="00C970C6"/>
    <w:rPr>
      <w:color w:val="605E5C"/>
      <w:shd w:val="clear" w:color="auto" w:fill="E1DFDD"/>
    </w:rPr>
  </w:style>
  <w:style w:type="character" w:customStyle="1" w:styleId="Mentionnonrsolue6">
    <w:name w:val="Mention non résolue6"/>
    <w:basedOn w:val="DefaultParagraphFont"/>
    <w:uiPriority w:val="99"/>
    <w:semiHidden/>
    <w:unhideWhenUsed/>
    <w:rsid w:val="00002A96"/>
    <w:rPr>
      <w:color w:val="605E5C"/>
      <w:shd w:val="clear" w:color="auto" w:fill="E1DFDD"/>
    </w:rPr>
  </w:style>
  <w:style w:type="character" w:customStyle="1" w:styleId="Mentionnonrsolue7">
    <w:name w:val="Mention non résolue7"/>
    <w:basedOn w:val="DefaultParagraphFont"/>
    <w:uiPriority w:val="99"/>
    <w:semiHidden/>
    <w:unhideWhenUsed/>
    <w:rsid w:val="00812D57"/>
    <w:rPr>
      <w:color w:val="605E5C"/>
      <w:shd w:val="clear" w:color="auto" w:fill="E1DFDD"/>
    </w:rPr>
  </w:style>
  <w:style w:type="character" w:customStyle="1" w:styleId="Mentionnonrsolue8">
    <w:name w:val="Mention non résolue8"/>
    <w:basedOn w:val="DefaultParagraphFont"/>
    <w:uiPriority w:val="99"/>
    <w:semiHidden/>
    <w:unhideWhenUsed/>
    <w:rsid w:val="009236D7"/>
    <w:rPr>
      <w:color w:val="605E5C"/>
      <w:shd w:val="clear" w:color="auto" w:fill="E1DFDD"/>
    </w:rPr>
  </w:style>
  <w:style w:type="character" w:customStyle="1" w:styleId="Mentionnonrsolue9">
    <w:name w:val="Mention non résolue9"/>
    <w:basedOn w:val="DefaultParagraphFont"/>
    <w:uiPriority w:val="99"/>
    <w:semiHidden/>
    <w:unhideWhenUsed/>
    <w:rsid w:val="00362ACD"/>
    <w:rPr>
      <w:color w:val="605E5C"/>
      <w:shd w:val="clear" w:color="auto" w:fill="E1DFDD"/>
    </w:rPr>
  </w:style>
  <w:style w:type="character" w:customStyle="1" w:styleId="y2iqfc">
    <w:name w:val="y2iqfc"/>
    <w:basedOn w:val="DefaultParagraphFont"/>
    <w:rsid w:val="000D6276"/>
  </w:style>
  <w:style w:type="character" w:styleId="Strong">
    <w:name w:val="Strong"/>
    <w:basedOn w:val="DefaultParagraphFont"/>
    <w:uiPriority w:val="22"/>
    <w:qFormat/>
    <w:rsid w:val="00DF6382"/>
    <w:rPr>
      <w:b/>
      <w:bCs/>
    </w:rPr>
  </w:style>
  <w:style w:type="paragraph" w:customStyle="1" w:styleId="Default">
    <w:name w:val="Default"/>
    <w:rsid w:val="005F47B2"/>
    <w:pPr>
      <w:autoSpaceDE w:val="0"/>
      <w:autoSpaceDN w:val="0"/>
      <w:adjustRightInd w:val="0"/>
    </w:pPr>
    <w:rPr>
      <w:rFonts w:ascii="Arial" w:hAnsi="Arial" w:cs="Arial"/>
      <w:color w:val="000000"/>
    </w:rPr>
  </w:style>
  <w:style w:type="character" w:customStyle="1" w:styleId="Mentionnonrsolue10">
    <w:name w:val="Mention non résolue10"/>
    <w:basedOn w:val="DefaultParagraphFont"/>
    <w:uiPriority w:val="99"/>
    <w:semiHidden/>
    <w:unhideWhenUsed/>
    <w:rsid w:val="00425638"/>
    <w:rPr>
      <w:color w:val="605E5C"/>
      <w:shd w:val="clear" w:color="auto" w:fill="E1DFDD"/>
    </w:rPr>
  </w:style>
  <w:style w:type="character" w:customStyle="1" w:styleId="Mentionnonrsolue11">
    <w:name w:val="Mention non résolue11"/>
    <w:basedOn w:val="DefaultParagraphFont"/>
    <w:uiPriority w:val="99"/>
    <w:semiHidden/>
    <w:unhideWhenUsed/>
    <w:rsid w:val="00D77C35"/>
    <w:rPr>
      <w:color w:val="605E5C"/>
      <w:shd w:val="clear" w:color="auto" w:fill="E1DFDD"/>
    </w:rPr>
  </w:style>
  <w:style w:type="character" w:customStyle="1" w:styleId="Mentionnonrsolue12">
    <w:name w:val="Mention non résolue12"/>
    <w:basedOn w:val="DefaultParagraphFont"/>
    <w:uiPriority w:val="99"/>
    <w:semiHidden/>
    <w:unhideWhenUsed/>
    <w:rsid w:val="00831482"/>
    <w:rPr>
      <w:color w:val="605E5C"/>
      <w:shd w:val="clear" w:color="auto" w:fill="E1DFDD"/>
    </w:rPr>
  </w:style>
  <w:style w:type="character" w:customStyle="1" w:styleId="Mentionnonrsolue13">
    <w:name w:val="Mention non résolue13"/>
    <w:basedOn w:val="DefaultParagraphFont"/>
    <w:uiPriority w:val="99"/>
    <w:semiHidden/>
    <w:unhideWhenUsed/>
    <w:rsid w:val="00555DA0"/>
    <w:rPr>
      <w:color w:val="605E5C"/>
      <w:shd w:val="clear" w:color="auto" w:fill="E1DFDD"/>
    </w:rPr>
  </w:style>
  <w:style w:type="character" w:customStyle="1" w:styleId="Mentionnonrsolue14">
    <w:name w:val="Mention non résolue14"/>
    <w:basedOn w:val="DefaultParagraphFont"/>
    <w:uiPriority w:val="99"/>
    <w:semiHidden/>
    <w:unhideWhenUsed/>
    <w:rsid w:val="003F7825"/>
    <w:rPr>
      <w:color w:val="605E5C"/>
      <w:shd w:val="clear" w:color="auto" w:fill="E1DFDD"/>
    </w:rPr>
  </w:style>
  <w:style w:type="character" w:customStyle="1" w:styleId="Mentionnonrsolue15">
    <w:name w:val="Mention non résolue15"/>
    <w:basedOn w:val="DefaultParagraphFont"/>
    <w:uiPriority w:val="99"/>
    <w:semiHidden/>
    <w:unhideWhenUsed/>
    <w:rsid w:val="00CB2954"/>
    <w:rPr>
      <w:color w:val="605E5C"/>
      <w:shd w:val="clear" w:color="auto" w:fill="E1DFDD"/>
    </w:rPr>
  </w:style>
  <w:style w:type="character" w:customStyle="1" w:styleId="Mentionnonrsolue16">
    <w:name w:val="Mention non résolue16"/>
    <w:basedOn w:val="DefaultParagraphFont"/>
    <w:uiPriority w:val="99"/>
    <w:semiHidden/>
    <w:unhideWhenUsed/>
    <w:rsid w:val="008E2634"/>
    <w:rPr>
      <w:color w:val="605E5C"/>
      <w:shd w:val="clear" w:color="auto" w:fill="E1DFDD"/>
    </w:rPr>
  </w:style>
  <w:style w:type="character" w:customStyle="1" w:styleId="Mentionnonrsolue17">
    <w:name w:val="Mention non résolue17"/>
    <w:basedOn w:val="DefaultParagraphFont"/>
    <w:uiPriority w:val="99"/>
    <w:semiHidden/>
    <w:unhideWhenUsed/>
    <w:rsid w:val="000823B3"/>
    <w:rPr>
      <w:color w:val="605E5C"/>
      <w:shd w:val="clear" w:color="auto" w:fill="E1DFDD"/>
    </w:rPr>
  </w:style>
  <w:style w:type="character" w:customStyle="1" w:styleId="Mentionnonrsolue18">
    <w:name w:val="Mention non résolue18"/>
    <w:basedOn w:val="DefaultParagraphFont"/>
    <w:uiPriority w:val="99"/>
    <w:semiHidden/>
    <w:unhideWhenUsed/>
    <w:rsid w:val="0025648B"/>
    <w:rPr>
      <w:color w:val="605E5C"/>
      <w:shd w:val="clear" w:color="auto" w:fill="E1DFDD"/>
    </w:rPr>
  </w:style>
  <w:style w:type="character" w:customStyle="1" w:styleId="Mentionnonrsolue19">
    <w:name w:val="Mention non résolue19"/>
    <w:basedOn w:val="DefaultParagraphFont"/>
    <w:uiPriority w:val="99"/>
    <w:semiHidden/>
    <w:unhideWhenUsed/>
    <w:rsid w:val="00E93887"/>
    <w:rPr>
      <w:color w:val="605E5C"/>
      <w:shd w:val="clear" w:color="auto" w:fill="E1DFDD"/>
    </w:rPr>
  </w:style>
  <w:style w:type="character" w:customStyle="1" w:styleId="Mentionnonrsolue20">
    <w:name w:val="Mention non résolue20"/>
    <w:basedOn w:val="DefaultParagraphFont"/>
    <w:uiPriority w:val="99"/>
    <w:semiHidden/>
    <w:unhideWhenUsed/>
    <w:rsid w:val="000C00FF"/>
    <w:rPr>
      <w:color w:val="605E5C"/>
      <w:shd w:val="clear" w:color="auto" w:fill="E1DFDD"/>
    </w:rPr>
  </w:style>
  <w:style w:type="paragraph" w:styleId="Revision">
    <w:name w:val="Revision"/>
    <w:hidden/>
    <w:uiPriority w:val="99"/>
    <w:semiHidden/>
    <w:rsid w:val="00DA2E99"/>
  </w:style>
  <w:style w:type="character" w:customStyle="1" w:styleId="Mentionnonrsolue21">
    <w:name w:val="Mention non résolue21"/>
    <w:basedOn w:val="DefaultParagraphFont"/>
    <w:uiPriority w:val="99"/>
    <w:semiHidden/>
    <w:unhideWhenUsed/>
    <w:rsid w:val="00CA184B"/>
    <w:rPr>
      <w:color w:val="605E5C"/>
      <w:shd w:val="clear" w:color="auto" w:fill="E1DFDD"/>
    </w:rPr>
  </w:style>
  <w:style w:type="character" w:customStyle="1" w:styleId="UnresolvedMention1">
    <w:name w:val="Unresolved Mention1"/>
    <w:basedOn w:val="DefaultParagraphFont"/>
    <w:uiPriority w:val="99"/>
    <w:semiHidden/>
    <w:unhideWhenUsed/>
    <w:rsid w:val="00AC5008"/>
    <w:rPr>
      <w:color w:val="605E5C"/>
      <w:shd w:val="clear" w:color="auto" w:fill="E1DFDD"/>
    </w:rPr>
  </w:style>
  <w:style w:type="character" w:customStyle="1" w:styleId="Heading1Char">
    <w:name w:val="Heading 1 Char"/>
    <w:basedOn w:val="DefaultParagraphFont"/>
    <w:link w:val="Heading1"/>
    <w:uiPriority w:val="9"/>
    <w:rsid w:val="003A3A8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86F83"/>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Mentionnonrsolue22">
    <w:name w:val="Mention non résolue22"/>
    <w:basedOn w:val="DefaultParagraphFont"/>
    <w:uiPriority w:val="99"/>
    <w:semiHidden/>
    <w:unhideWhenUsed/>
    <w:rsid w:val="00991692"/>
    <w:rPr>
      <w:color w:val="605E5C"/>
      <w:shd w:val="clear" w:color="auto" w:fill="E1DFDD"/>
    </w:rPr>
  </w:style>
  <w:style w:type="character" w:customStyle="1" w:styleId="UnresolvedMention2">
    <w:name w:val="Unresolved Mention2"/>
    <w:basedOn w:val="DefaultParagraphFont"/>
    <w:uiPriority w:val="99"/>
    <w:semiHidden/>
    <w:unhideWhenUsed/>
    <w:rsid w:val="00F57398"/>
    <w:rPr>
      <w:color w:val="605E5C"/>
      <w:shd w:val="clear" w:color="auto" w:fill="E1DFDD"/>
    </w:rPr>
  </w:style>
  <w:style w:type="character" w:customStyle="1" w:styleId="UnresolvedMention3">
    <w:name w:val="Unresolved Mention3"/>
    <w:basedOn w:val="DefaultParagraphFont"/>
    <w:uiPriority w:val="99"/>
    <w:semiHidden/>
    <w:unhideWhenUsed/>
    <w:rsid w:val="00DD7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238">
      <w:bodyDiv w:val="1"/>
      <w:marLeft w:val="0"/>
      <w:marRight w:val="0"/>
      <w:marTop w:val="0"/>
      <w:marBottom w:val="0"/>
      <w:divBdr>
        <w:top w:val="none" w:sz="0" w:space="0" w:color="auto"/>
        <w:left w:val="none" w:sz="0" w:space="0" w:color="auto"/>
        <w:bottom w:val="none" w:sz="0" w:space="0" w:color="auto"/>
        <w:right w:val="none" w:sz="0" w:space="0" w:color="auto"/>
      </w:divBdr>
    </w:div>
    <w:div w:id="245774701">
      <w:bodyDiv w:val="1"/>
      <w:marLeft w:val="0"/>
      <w:marRight w:val="0"/>
      <w:marTop w:val="0"/>
      <w:marBottom w:val="0"/>
      <w:divBdr>
        <w:top w:val="none" w:sz="0" w:space="0" w:color="auto"/>
        <w:left w:val="none" w:sz="0" w:space="0" w:color="auto"/>
        <w:bottom w:val="none" w:sz="0" w:space="0" w:color="auto"/>
        <w:right w:val="none" w:sz="0" w:space="0" w:color="auto"/>
      </w:divBdr>
    </w:div>
    <w:div w:id="397435256">
      <w:bodyDiv w:val="1"/>
      <w:marLeft w:val="0"/>
      <w:marRight w:val="0"/>
      <w:marTop w:val="0"/>
      <w:marBottom w:val="0"/>
      <w:divBdr>
        <w:top w:val="none" w:sz="0" w:space="0" w:color="auto"/>
        <w:left w:val="none" w:sz="0" w:space="0" w:color="auto"/>
        <w:bottom w:val="none" w:sz="0" w:space="0" w:color="auto"/>
        <w:right w:val="none" w:sz="0" w:space="0" w:color="auto"/>
      </w:divBdr>
    </w:div>
    <w:div w:id="565721405">
      <w:bodyDiv w:val="1"/>
      <w:marLeft w:val="0"/>
      <w:marRight w:val="0"/>
      <w:marTop w:val="0"/>
      <w:marBottom w:val="0"/>
      <w:divBdr>
        <w:top w:val="none" w:sz="0" w:space="0" w:color="auto"/>
        <w:left w:val="none" w:sz="0" w:space="0" w:color="auto"/>
        <w:bottom w:val="none" w:sz="0" w:space="0" w:color="auto"/>
        <w:right w:val="none" w:sz="0" w:space="0" w:color="auto"/>
      </w:divBdr>
    </w:div>
    <w:div w:id="1652978096">
      <w:bodyDiv w:val="1"/>
      <w:marLeft w:val="0"/>
      <w:marRight w:val="0"/>
      <w:marTop w:val="0"/>
      <w:marBottom w:val="0"/>
      <w:divBdr>
        <w:top w:val="none" w:sz="0" w:space="0" w:color="auto"/>
        <w:left w:val="none" w:sz="0" w:space="0" w:color="auto"/>
        <w:bottom w:val="none" w:sz="0" w:space="0" w:color="auto"/>
        <w:right w:val="none" w:sz="0" w:space="0" w:color="auto"/>
      </w:divBdr>
    </w:div>
    <w:div w:id="210602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sroom.spotify.com/2024-03-04/the-european-commission-confirms-apples-anti-competitive-behavior-is-illegal-and-harms-consumers/" TargetMode="External"/><Relationship Id="rId18" Type="http://schemas.openxmlformats.org/officeDocument/2006/relationships/hyperlink" Target="https://www.obs.coe.int/en/web/observatoire/-/30-of-svod-viewing-time-goes-to-content-from-the-european-union-plus-uk" TargetMode="External"/><Relationship Id="rId26" Type="http://schemas.openxmlformats.org/officeDocument/2006/relationships/hyperlink" Target="https://variety.com/2024/tv/global/bbc-studios-itv-britbox-international-1235927395/" TargetMode="External"/><Relationship Id="rId39" Type="http://schemas.openxmlformats.org/officeDocument/2006/relationships/hyperlink" Target="https://techcrunch.com/2024/03/04/apple-plans-to-appeal-european-commissions-e1-84-billion-antitrust-fine-favoring-spotify/?guce_referrer=aHR0cHM6Ly93d3cuZ29vZ2xlLmJlLw&amp;guce_referrer_sig=AQAAAM0yVL4tTsoHK04gt9FG-YwY0JbLw72KsMi2dY-CTSA2rzuHprFfehjnDbXA9Ye0OClxK8wd_ZCAMsLIVY-Iq6Or_lWMbODQk63O5quhgjbbYHHHkkEJx11yB7HMLZq_ePnLWV6PmZFVgx_KtZ98yyaYKZOBrAsZ3exQQBcWz2am&amp;guccounter=2" TargetMode="External"/><Relationship Id="rId21" Type="http://schemas.openxmlformats.org/officeDocument/2006/relationships/hyperlink" Target="https://www.ifpi.org/eu-ai-act-joint-statement-from-european-creators-and-rightsholders/" TargetMode="External"/><Relationship Id="rId34" Type="http://schemas.openxmlformats.org/officeDocument/2006/relationships/hyperlink" Target="https://mashable.com/article/freely-uk-streamer" TargetMode="External"/><Relationship Id="rId42" Type="http://schemas.openxmlformats.org/officeDocument/2006/relationships/hyperlink" Target="https://www.ifpi.org/ifpi-global-music-report-global-recorded-music-revenues-grew-10-2-in-2023/" TargetMode="External"/><Relationship Id="rId47" Type="http://schemas.openxmlformats.org/officeDocument/2006/relationships/hyperlink" Target="mailto:ceim@uqam.ca"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m.coe.int/svod-usage-report-in-the-eu-2023-december-2023-c-grece-and-j-a-tran/1680af0850" TargetMode="External"/><Relationship Id="rId29" Type="http://schemas.openxmlformats.org/officeDocument/2006/relationships/hyperlink" Target="https://www.theverge.com/2024/3/27/24112747/disney-plus-hulu-tile-app-streaming" TargetMode="External"/><Relationship Id="rId11" Type="http://schemas.openxmlformats.org/officeDocument/2006/relationships/hyperlink" Target="https://techcrunch.com/2024/03/04/apple-plans-to-appeal-european-commissions-e1-84-billion-antitrust-fine-favoring-spotify/?guce_referrer=aHR0cHM6Ly93d3cuZ29vZ2xlLmJlLw&amp;guce_referrer_sig=AQAAAM0yVL4tTsoHK04gt9FG-YwY0JbLw72KsMi2dY-CTSA2rzuHprFfehjnDbXA9Ye0OClxK8wd_ZCAMsLIVY-Iq6Or_lWMbODQk63O5quhgjbbYHHHkkEJx11yB7HMLZq_ePnLWV6PmZFVgx_KtZ98yyaYKZOBrAsZ3exQQBcWz2am&amp;guccounter=2" TargetMode="External"/><Relationship Id="rId24" Type="http://schemas.openxmlformats.org/officeDocument/2006/relationships/hyperlink" Target="https://www.ifpi.org/ifpi-global-music-report-global-recorded-music-revenues-grew-10-2-in-2023/" TargetMode="External"/><Relationship Id="rId32" Type="http://schemas.openxmlformats.org/officeDocument/2006/relationships/hyperlink" Target="https://www.theverge.com/2024/3/25/24110545/spotify-online-courses-learning-video-test-uk-skillshare-bbc-maestro-playvirtuoso" TargetMode="External"/><Relationship Id="rId37" Type="http://schemas.openxmlformats.org/officeDocument/2006/relationships/hyperlink" Target="https://www.latimes.com/entertainment-arts/business/story/2024-03-06/how-netflix-held-onto-its-crown-as-king-of-streaming" TargetMode="External"/><Relationship Id="rId40" Type="http://schemas.openxmlformats.org/officeDocument/2006/relationships/hyperlink" Target="https://www.obs.coe.int/en/web/observatoire/-/30-of-svod-viewing-time-goes-to-content-from-the-european-union-plus-uk" TargetMode="External"/><Relationship Id="rId45" Type="http://schemas.openxmlformats.org/officeDocument/2006/relationships/hyperlink" Target="https://www.theverge.com/2024/3/27/24112747/disney-plus-hulu-tile-app-streaming"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uractiv.com/section/artificial-intelligence/news/ai-acts-global-effects-might-be-overstated-experts-say/" TargetMode="External"/><Relationship Id="rId31" Type="http://schemas.openxmlformats.org/officeDocument/2006/relationships/hyperlink" Target="https://www.theverge.com/2024/3/25/24110545/spotify-online-courses-learning-video-test-uk-skillshare-bbc-maestro-playvirtuoso" TargetMode="External"/><Relationship Id="rId44" Type="http://schemas.openxmlformats.org/officeDocument/2006/relationships/hyperlink" Target="https://variety.com/2024/tv/global/bbc-itv-channel-4-channel-5-free-streaming-freely-launch-1235897880/"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chcrunch.com/2024/03/04/spotify-calls-apples-e1-84b-antitrust-fine-a-powerful-message-but-cautions-that-the-next-steps-matter/" TargetMode="External"/><Relationship Id="rId22" Type="http://schemas.openxmlformats.org/officeDocument/2006/relationships/hyperlink" Target="https://deadline.com/2024/01/netflix-amazon-streaming-regulation-producer-global-statement-1235793925/" TargetMode="External"/><Relationship Id="rId27" Type="http://schemas.openxmlformats.org/officeDocument/2006/relationships/hyperlink" Target="https://www.hollywoodreporter.com/business/business-news/bbc-studios-itv-britbox-deal-1235840449/" TargetMode="External"/><Relationship Id="rId30" Type="http://schemas.openxmlformats.org/officeDocument/2006/relationships/hyperlink" Target="https://www.vulture.com/article/disney-plus-hulu-combined-streaming-app.html" TargetMode="External"/><Relationship Id="rId35" Type="http://schemas.openxmlformats.org/officeDocument/2006/relationships/hyperlink" Target="https://deadline.com/2024/03/france-televisions-delphine-ernotte-cunci-salto-collapse-mistake-1235864323/" TargetMode="External"/><Relationship Id="rId43" Type="http://schemas.openxmlformats.org/officeDocument/2006/relationships/hyperlink" Target="https://www.hollywoodreporter.com/business/business-news/bbc-studios-itv-britbox-deal-1235840449/" TargetMode="External"/><Relationship Id="rId48" Type="http://schemas.openxmlformats.org/officeDocument/2006/relationships/hyperlink" Target="http://www.ceim.uqam.ca"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apple.com/newsroom/2024/03/the-app-store-spotify-and-europes-thriving-digital-music-market/" TargetMode="External"/><Relationship Id="rId17" Type="http://schemas.openxmlformats.org/officeDocument/2006/relationships/hyperlink" Target="https://rm.coe.int/vod-catalogues-2023-film-and-tv-content-2023-edition-c-grece/1680af084e" TargetMode="External"/><Relationship Id="rId25" Type="http://schemas.openxmlformats.org/officeDocument/2006/relationships/hyperlink" Target="https://ifpi-website-cms.s3.eu-west-2.amazonaws.com/IFPI_GMR_2024_State_of_the_Industry_db92a1c9c1.pdf" TargetMode="External"/><Relationship Id="rId33" Type="http://schemas.openxmlformats.org/officeDocument/2006/relationships/hyperlink" Target="https://variety.com/2024/tv/global/bbc-itv-channel-4-channel-5-free-streaming-freely-launch-1235897880/" TargetMode="External"/><Relationship Id="rId38" Type="http://schemas.openxmlformats.org/officeDocument/2006/relationships/hyperlink" Target="https://variety.com/2024/tv/global/series-mania-annette-bening-fremantle-federation-1235943246/" TargetMode="External"/><Relationship Id="rId46" Type="http://schemas.openxmlformats.org/officeDocument/2006/relationships/hyperlink" Target="mailto:avlassis@uliege.be" TargetMode="External"/><Relationship Id="rId20" Type="http://schemas.openxmlformats.org/officeDocument/2006/relationships/hyperlink" Target="https://cineuropa.org/en/dossiernewsdetail/1512/458514/" TargetMode="External"/><Relationship Id="rId41" Type="http://schemas.openxmlformats.org/officeDocument/2006/relationships/hyperlink" Target="https://www.euractiv.com/section/artificial-intelligence/news/ai-acts-global-effects-might-be-overstated-experts-sa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uters.com/technology/apple-hit-with-over-18-bln-euro-eu-antitrust-fine-spotify-case-2024-03-04/" TargetMode="External"/><Relationship Id="rId23" Type="http://schemas.openxmlformats.org/officeDocument/2006/relationships/hyperlink" Target="https://variety.com/2024/digital/news/global-production-bodies-unite-streamers-invest-local-content-1235875256/" TargetMode="External"/><Relationship Id="rId28" Type="http://schemas.openxmlformats.org/officeDocument/2006/relationships/hyperlink" Target="https://press.disneyplus.com/hulu-on-disney-plus-launches-today-in-the-us-for-bundle-subscribers" TargetMode="External"/><Relationship Id="rId36" Type="http://schemas.openxmlformats.org/officeDocument/2006/relationships/hyperlink" Target="https://deadline.com/2024/03/france-televisions-delphine-ernotte-cunci-salto-collapse-mistake-1235864323/" TargetMode="External"/><Relationship Id="rId4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fZHM39G0/YdaglMzETO28B9SQ==">CgMxLjA4AHIhMU1YemxHNm8yYk1ROXQ3ZEFISmQ4YXU0bUUtamlxbWJS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B09AEA66D344E9F5898FBFA9972FE" ma:contentTypeVersion="12" ma:contentTypeDescription="Create a new document." ma:contentTypeScope="" ma:versionID="d6dd3f137e752996240765d23003afe3">
  <xsd:schema xmlns:xsd="http://www.w3.org/2001/XMLSchema" xmlns:xs="http://www.w3.org/2001/XMLSchema" xmlns:p="http://schemas.microsoft.com/office/2006/metadata/properties" xmlns:ns3="e868fde3-28eb-41c4-aad0-6de82ea621ca" xmlns:ns4="95ac3970-8acb-49fe-947a-32cb5acf4be9" targetNamespace="http://schemas.microsoft.com/office/2006/metadata/properties" ma:root="true" ma:fieldsID="4a7ac954278a3c20bc5a414d2c518d2b" ns3:_="" ns4:_="">
    <xsd:import namespace="e868fde3-28eb-41c4-aad0-6de82ea621ca"/>
    <xsd:import namespace="95ac3970-8acb-49fe-947a-32cb5acf4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fde3-28eb-41c4-aad0-6de82ea62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c3970-8acb-49fe-947a-32cb5acf4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868fde3-28eb-41c4-aad0-6de82ea621c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68897F-3586-4C31-9705-4495CD6B426E}">
  <ds:schemaRefs>
    <ds:schemaRef ds:uri="http://schemas.microsoft.com/sharepoint/v3/contenttype/forms"/>
  </ds:schemaRefs>
</ds:datastoreItem>
</file>

<file path=customXml/itemProps3.xml><?xml version="1.0" encoding="utf-8"?>
<ds:datastoreItem xmlns:ds="http://schemas.openxmlformats.org/officeDocument/2006/customXml" ds:itemID="{AB42D0B6-76F3-47C6-955D-C7B4734D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8fde3-28eb-41c4-aad0-6de82ea621ca"/>
    <ds:schemaRef ds:uri="95ac3970-8acb-49fe-947a-32cb5acf4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E0A23-7C5C-4C42-97AD-72028B589FC7}">
  <ds:schemaRefs>
    <ds:schemaRef ds:uri="http://schemas.microsoft.com/office/2006/metadata/properties"/>
    <ds:schemaRef ds:uri="http://schemas.microsoft.com/office/infopath/2007/PartnerControls"/>
    <ds:schemaRef ds:uri="e868fde3-28eb-41c4-aad0-6de82ea621c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3236</Words>
  <Characters>18450</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Gilbert Gagné</cp:lastModifiedBy>
  <cp:revision>14</cp:revision>
  <dcterms:created xsi:type="dcterms:W3CDTF">2024-04-03T20:03:00Z</dcterms:created>
  <dcterms:modified xsi:type="dcterms:W3CDTF">2024-04-09T00:40:00Z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0x010100B0EB09AEA66D344E9F5898FBFA9972FE</vt:lpwstr>
  </property>
</Properties>
</file>